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FCCC">
      <w:pPr>
        <w:pStyle w:val="10"/>
        <w:spacing w:before="156" w:after="156"/>
        <w:ind w:firstLine="0" w:firstLineChars="0"/>
        <w:rPr>
          <w:color w:val="000000"/>
        </w:rPr>
      </w:pPr>
      <w:bookmarkStart w:id="7" w:name="_GoBack"/>
      <w:bookmarkEnd w:id="7"/>
    </w:p>
    <w:p w14:paraId="6D9124BB">
      <w:pPr>
        <w:pStyle w:val="10"/>
        <w:spacing w:before="156" w:after="156"/>
        <w:ind w:firstLine="0" w:firstLineChars="0"/>
        <w:rPr>
          <w:color w:val="000000"/>
        </w:rPr>
      </w:pPr>
    </w:p>
    <w:p w14:paraId="47556A34">
      <w:pPr>
        <w:pStyle w:val="10"/>
        <w:spacing w:before="156" w:after="156"/>
        <w:ind w:firstLine="0" w:firstLineChars="0"/>
        <w:jc w:val="center"/>
        <w:rPr>
          <w:b/>
          <w:color w:val="000000"/>
          <w:sz w:val="72"/>
          <w:szCs w:val="72"/>
        </w:rPr>
      </w:pPr>
      <w:r>
        <w:rPr>
          <w:rFonts w:hint="eastAsia"/>
          <w:b/>
          <w:color w:val="000000"/>
          <w:sz w:val="72"/>
          <w:szCs w:val="72"/>
        </w:rPr>
        <w:t>招 标 文 件</w:t>
      </w:r>
    </w:p>
    <w:p w14:paraId="3B8ED977">
      <w:pPr>
        <w:pStyle w:val="10"/>
        <w:spacing w:before="156" w:after="156"/>
        <w:ind w:firstLine="0" w:firstLineChars="0"/>
        <w:rPr>
          <w:color w:val="000000"/>
        </w:rPr>
      </w:pPr>
    </w:p>
    <w:p w14:paraId="7EA506EC">
      <w:pPr>
        <w:pStyle w:val="10"/>
        <w:spacing w:before="156" w:after="156"/>
        <w:ind w:firstLine="0" w:firstLineChars="0"/>
        <w:rPr>
          <w:color w:val="000000"/>
        </w:rPr>
      </w:pPr>
    </w:p>
    <w:p w14:paraId="69CF45E7">
      <w:pPr>
        <w:pStyle w:val="10"/>
        <w:spacing w:before="156" w:after="156"/>
        <w:ind w:firstLine="0" w:firstLineChars="0"/>
        <w:jc w:val="center"/>
        <w:rPr>
          <w:b/>
          <w:color w:val="000000"/>
        </w:rPr>
      </w:pPr>
    </w:p>
    <w:p w14:paraId="7F7A617D">
      <w:pPr>
        <w:pStyle w:val="10"/>
        <w:spacing w:before="156" w:after="156"/>
        <w:ind w:firstLine="0" w:firstLineChars="0"/>
        <w:jc w:val="center"/>
        <w:rPr>
          <w:b/>
          <w:color w:val="000000"/>
          <w:sz w:val="36"/>
          <w:szCs w:val="36"/>
        </w:rPr>
      </w:pPr>
      <w:r>
        <w:rPr>
          <w:rFonts w:hint="eastAsia"/>
          <w:b/>
          <w:color w:val="000000"/>
          <w:sz w:val="36"/>
          <w:szCs w:val="36"/>
        </w:rPr>
        <w:t>招标系统名称:</w:t>
      </w:r>
      <w:r>
        <w:rPr>
          <w:rFonts w:hint="eastAsia"/>
          <w:color w:val="000000"/>
        </w:rPr>
        <w:t xml:space="preserve"> </w:t>
      </w:r>
      <w:r>
        <w:rPr>
          <w:rFonts w:hint="eastAsia"/>
          <w:b/>
          <w:color w:val="000000"/>
          <w:sz w:val="36"/>
          <w:szCs w:val="36"/>
        </w:rPr>
        <w:t>淮南东方医院集团体检系统</w:t>
      </w:r>
    </w:p>
    <w:p w14:paraId="05A8F4BB">
      <w:pPr>
        <w:pStyle w:val="10"/>
        <w:spacing w:before="156" w:after="156"/>
        <w:ind w:firstLine="0" w:firstLineChars="0"/>
        <w:jc w:val="center"/>
        <w:rPr>
          <w:b/>
          <w:color w:val="000000"/>
        </w:rPr>
      </w:pPr>
    </w:p>
    <w:p w14:paraId="0F8A4AB6">
      <w:pPr>
        <w:pStyle w:val="10"/>
        <w:spacing w:before="156" w:after="156"/>
        <w:ind w:firstLine="0" w:firstLineChars="0"/>
        <w:jc w:val="center"/>
        <w:rPr>
          <w:b/>
          <w:color w:val="000000"/>
        </w:rPr>
      </w:pPr>
    </w:p>
    <w:p w14:paraId="5625C381">
      <w:pPr>
        <w:pStyle w:val="10"/>
        <w:spacing w:before="156" w:after="156"/>
        <w:ind w:firstLine="0" w:firstLineChars="0"/>
        <w:jc w:val="center"/>
        <w:rPr>
          <w:b/>
          <w:color w:val="000000"/>
        </w:rPr>
      </w:pPr>
    </w:p>
    <w:p w14:paraId="2EB9948E">
      <w:pPr>
        <w:pStyle w:val="10"/>
        <w:spacing w:before="156" w:after="156"/>
        <w:ind w:firstLine="0" w:firstLineChars="0"/>
        <w:jc w:val="center"/>
        <w:rPr>
          <w:b/>
          <w:color w:val="000000"/>
        </w:rPr>
      </w:pPr>
    </w:p>
    <w:p w14:paraId="0EDEB152">
      <w:pPr>
        <w:pStyle w:val="10"/>
        <w:spacing w:before="156" w:after="156"/>
        <w:ind w:firstLine="0" w:firstLineChars="0"/>
        <w:jc w:val="center"/>
        <w:rPr>
          <w:b/>
          <w:color w:val="000000"/>
          <w:sz w:val="36"/>
          <w:szCs w:val="36"/>
        </w:rPr>
      </w:pPr>
    </w:p>
    <w:p w14:paraId="1043AD8C">
      <w:pPr>
        <w:pStyle w:val="10"/>
        <w:spacing w:before="156" w:after="156"/>
        <w:ind w:firstLine="0" w:firstLineChars="0"/>
        <w:jc w:val="center"/>
        <w:rPr>
          <w:b/>
          <w:color w:val="000000"/>
          <w:sz w:val="36"/>
          <w:szCs w:val="36"/>
        </w:rPr>
      </w:pPr>
    </w:p>
    <w:p w14:paraId="07D9D2D4">
      <w:pPr>
        <w:pStyle w:val="10"/>
        <w:spacing w:before="0" w:beforeLines="0" w:after="0" w:afterLines="0"/>
        <w:ind w:firstLine="0" w:firstLineChars="0"/>
        <w:jc w:val="center"/>
        <w:rPr>
          <w:b/>
          <w:color w:val="000000"/>
          <w:sz w:val="30"/>
          <w:szCs w:val="30"/>
        </w:rPr>
      </w:pPr>
      <w:r>
        <w:rPr>
          <w:rFonts w:hint="eastAsia"/>
          <w:b/>
          <w:color w:val="000000"/>
          <w:sz w:val="30"/>
          <w:szCs w:val="30"/>
        </w:rPr>
        <w:t>淮南东方医院集团招标委员会</w:t>
      </w:r>
    </w:p>
    <w:p w14:paraId="4B020576">
      <w:pPr>
        <w:pStyle w:val="10"/>
        <w:spacing w:before="0" w:beforeLines="0" w:after="0" w:afterLines="0"/>
        <w:ind w:firstLine="0" w:firstLineChars="0"/>
        <w:jc w:val="center"/>
        <w:rPr>
          <w:b/>
          <w:color w:val="000000"/>
          <w:sz w:val="30"/>
          <w:szCs w:val="30"/>
        </w:rPr>
      </w:pPr>
      <w:r>
        <w:rPr>
          <w:rFonts w:hint="eastAsia"/>
          <w:b/>
          <w:color w:val="000000"/>
          <w:sz w:val="30"/>
          <w:szCs w:val="30"/>
        </w:rPr>
        <w:t>二○XX年XX月</w:t>
      </w:r>
    </w:p>
    <w:p w14:paraId="7A582E48">
      <w:pPr>
        <w:pStyle w:val="10"/>
        <w:spacing w:before="156" w:after="156"/>
        <w:ind w:left="4819" w:leftChars="2295" w:firstLine="0" w:firstLineChars="0"/>
        <w:rPr>
          <w:color w:val="000000"/>
        </w:rPr>
      </w:pPr>
    </w:p>
    <w:p w14:paraId="15FBD978">
      <w:pPr>
        <w:pStyle w:val="12"/>
        <w:ind w:firstLine="0" w:firstLineChars="0"/>
        <w:rPr>
          <w:color w:val="000000"/>
        </w:rPr>
      </w:pPr>
      <w:r>
        <w:rPr>
          <w:color w:val="000000"/>
        </w:rPr>
        <w:br w:type="page"/>
      </w:r>
      <w:r>
        <w:rPr>
          <w:rFonts w:hint="eastAsia"/>
          <w:color w:val="000000"/>
        </w:rPr>
        <w:t>招标文件</w:t>
      </w:r>
    </w:p>
    <w:p w14:paraId="1E62023D">
      <w:pPr>
        <w:pStyle w:val="10"/>
        <w:spacing w:before="156" w:after="156"/>
        <w:ind w:firstLine="480"/>
        <w:rPr>
          <w:color w:val="000000"/>
        </w:rPr>
      </w:pPr>
      <w:r>
        <w:rPr>
          <w:rFonts w:hint="eastAsia"/>
          <w:color w:val="000000"/>
        </w:rPr>
        <w:t>招标物资名称: 淮南东方医院集团体检系统</w:t>
      </w:r>
    </w:p>
    <w:p w14:paraId="669AF4AD">
      <w:pPr>
        <w:pStyle w:val="13"/>
        <w:ind w:firstLine="0" w:firstLineChars="0"/>
        <w:rPr>
          <w:color w:val="000000"/>
        </w:rPr>
      </w:pPr>
      <w:r>
        <w:rPr>
          <w:rFonts w:hint="eastAsia"/>
          <w:color w:val="000000"/>
        </w:rPr>
        <w:t>第一部分  淮南东方医院集团体检系统招标函</w:t>
      </w:r>
    </w:p>
    <w:p w14:paraId="74F392BB">
      <w:pPr>
        <w:pStyle w:val="14"/>
        <w:numPr>
          <w:ilvl w:val="0"/>
          <w:numId w:val="1"/>
        </w:numPr>
        <w:spacing w:before="156" w:after="156"/>
        <w:ind w:firstLineChars="0"/>
        <w:rPr>
          <w:color w:val="000000"/>
        </w:rPr>
      </w:pPr>
      <w:r>
        <w:rPr>
          <w:rFonts w:hint="eastAsia"/>
          <w:color w:val="000000"/>
        </w:rPr>
        <w:t>项目名称：淮南东方医院集团体检系统</w:t>
      </w:r>
    </w:p>
    <w:p w14:paraId="305F2DA1">
      <w:pPr>
        <w:pStyle w:val="14"/>
        <w:numPr>
          <w:ilvl w:val="0"/>
          <w:numId w:val="1"/>
        </w:numPr>
        <w:spacing w:before="156" w:after="156"/>
        <w:ind w:firstLineChars="0"/>
        <w:rPr>
          <w:color w:val="000000"/>
        </w:rPr>
      </w:pPr>
      <w:r>
        <w:rPr>
          <w:rFonts w:hint="eastAsia"/>
          <w:color w:val="000000"/>
        </w:rPr>
        <w:t>采购内容：淮南东方医院集团体检系统，详见附件</w:t>
      </w:r>
    </w:p>
    <w:p w14:paraId="273D9459">
      <w:pPr>
        <w:pStyle w:val="14"/>
        <w:numPr>
          <w:ilvl w:val="0"/>
          <w:numId w:val="1"/>
        </w:numPr>
        <w:spacing w:before="156" w:after="156"/>
        <w:ind w:firstLineChars="0"/>
        <w:rPr>
          <w:color w:val="000000"/>
        </w:rPr>
      </w:pPr>
      <w:r>
        <w:rPr>
          <w:rFonts w:hint="eastAsia"/>
          <w:color w:val="000000"/>
        </w:rPr>
        <w:t>具体要求：</w:t>
      </w:r>
    </w:p>
    <w:p w14:paraId="06197598">
      <w:pPr>
        <w:pStyle w:val="10"/>
        <w:numPr>
          <w:ilvl w:val="1"/>
          <w:numId w:val="1"/>
        </w:numPr>
        <w:spacing w:before="156" w:after="156"/>
        <w:ind w:firstLineChars="0"/>
        <w:rPr>
          <w:color w:val="000000"/>
        </w:rPr>
      </w:pPr>
      <w:r>
        <w:rPr>
          <w:rFonts w:hint="eastAsia"/>
          <w:color w:val="000000"/>
        </w:rPr>
        <w:t>投标人不可以对本采购内容进行分包或转包。</w:t>
      </w:r>
    </w:p>
    <w:p w14:paraId="30ABEAD2">
      <w:pPr>
        <w:pStyle w:val="10"/>
        <w:numPr>
          <w:ilvl w:val="1"/>
          <w:numId w:val="1"/>
        </w:numPr>
        <w:spacing w:before="156" w:after="156"/>
        <w:ind w:firstLineChars="0"/>
        <w:rPr>
          <w:color w:val="000000"/>
        </w:rPr>
      </w:pPr>
      <w:r>
        <w:rPr>
          <w:rFonts w:hint="eastAsia"/>
          <w:color w:val="000000"/>
        </w:rPr>
        <w:t>所有报价均以人民币报价（单位：元），所报价格包含各种税金，运费以及必须提供的各类服务费等。</w:t>
      </w:r>
    </w:p>
    <w:p w14:paraId="1C1BB482">
      <w:pPr>
        <w:pStyle w:val="10"/>
        <w:numPr>
          <w:ilvl w:val="1"/>
          <w:numId w:val="1"/>
        </w:numPr>
        <w:spacing w:before="156" w:after="156"/>
        <w:ind w:firstLineChars="0"/>
        <w:rPr>
          <w:color w:val="000000"/>
        </w:rPr>
      </w:pPr>
      <w:r>
        <w:rPr>
          <w:rFonts w:hint="eastAsia"/>
          <w:color w:val="000000"/>
        </w:rPr>
        <w:t>请在报价的同时附上代表本公司资质的必要的商务证明文件及所采购商品的厂商授权函，并详细说明服务体系及承诺。</w:t>
      </w:r>
    </w:p>
    <w:p w14:paraId="78B931D7">
      <w:pPr>
        <w:pStyle w:val="14"/>
        <w:numPr>
          <w:ilvl w:val="0"/>
          <w:numId w:val="1"/>
        </w:numPr>
        <w:spacing w:before="156" w:after="156"/>
        <w:ind w:firstLineChars="0"/>
        <w:rPr>
          <w:color w:val="000000"/>
        </w:rPr>
      </w:pPr>
      <w:r>
        <w:rPr>
          <w:rFonts w:hint="eastAsia"/>
          <w:color w:val="000000"/>
        </w:rPr>
        <w:t>标书发放：</w:t>
      </w:r>
    </w:p>
    <w:p w14:paraId="307DD297">
      <w:pPr>
        <w:pStyle w:val="10"/>
        <w:numPr>
          <w:ilvl w:val="1"/>
          <w:numId w:val="1"/>
        </w:numPr>
        <w:spacing w:before="156" w:after="156"/>
        <w:ind w:firstLineChars="0"/>
        <w:rPr>
          <w:color w:val="000000"/>
        </w:rPr>
      </w:pPr>
      <w:r>
        <w:rPr>
          <w:rFonts w:hint="eastAsia"/>
          <w:color w:val="000000"/>
        </w:rPr>
        <w:t>时间：</w:t>
      </w:r>
      <w:r>
        <w:rPr>
          <w:color w:val="000000"/>
        </w:rPr>
        <w:t>20</w:t>
      </w:r>
      <w:r>
        <w:rPr>
          <w:rFonts w:hint="eastAsia"/>
          <w:color w:val="000000"/>
          <w:lang w:val="en-US" w:eastAsia="zh-CN"/>
        </w:rPr>
        <w:t>25</w:t>
      </w:r>
      <w:r>
        <w:rPr>
          <w:rFonts w:hint="eastAsia"/>
          <w:color w:val="000000"/>
        </w:rPr>
        <w:t>年</w:t>
      </w:r>
      <w:r>
        <w:rPr>
          <w:rFonts w:hint="eastAsia"/>
          <w:color w:val="000000"/>
          <w:lang w:val="en-US" w:eastAsia="zh-CN"/>
        </w:rPr>
        <w:t>09</w:t>
      </w:r>
      <w:r>
        <w:rPr>
          <w:rFonts w:hint="eastAsia"/>
          <w:color w:val="000000"/>
        </w:rPr>
        <w:t>月</w:t>
      </w:r>
      <w:r>
        <w:rPr>
          <w:rFonts w:hint="eastAsia"/>
          <w:color w:val="000000"/>
          <w:lang w:val="en-US" w:eastAsia="zh-CN"/>
        </w:rPr>
        <w:t>18</w:t>
      </w:r>
      <w:r>
        <w:rPr>
          <w:rFonts w:hint="eastAsia"/>
          <w:color w:val="000000"/>
        </w:rPr>
        <w:t>日至</w:t>
      </w:r>
      <w:r>
        <w:rPr>
          <w:color w:val="000000"/>
        </w:rPr>
        <w:t>20</w:t>
      </w:r>
      <w:r>
        <w:rPr>
          <w:rFonts w:hint="eastAsia"/>
          <w:color w:val="000000"/>
          <w:lang w:val="en-US" w:eastAsia="zh-CN"/>
        </w:rPr>
        <w:t>25</w:t>
      </w:r>
      <w:r>
        <w:rPr>
          <w:rFonts w:hint="eastAsia"/>
          <w:color w:val="000000"/>
        </w:rPr>
        <w:t>年</w:t>
      </w:r>
      <w:r>
        <w:rPr>
          <w:rFonts w:hint="eastAsia"/>
          <w:color w:val="000000"/>
          <w:lang w:val="en-US" w:eastAsia="zh-CN"/>
        </w:rPr>
        <w:t>09</w:t>
      </w:r>
      <w:r>
        <w:rPr>
          <w:rFonts w:hint="eastAsia"/>
          <w:color w:val="000000"/>
        </w:rPr>
        <w:t>月</w:t>
      </w:r>
      <w:r>
        <w:rPr>
          <w:rFonts w:hint="eastAsia"/>
          <w:color w:val="000000"/>
          <w:lang w:val="en-US" w:eastAsia="zh-CN"/>
        </w:rPr>
        <w:t>23</w:t>
      </w:r>
      <w:r>
        <w:rPr>
          <w:rFonts w:hint="eastAsia"/>
          <w:color w:val="000000"/>
        </w:rPr>
        <w:t>日</w:t>
      </w:r>
    </w:p>
    <w:p w14:paraId="7F954815">
      <w:pPr>
        <w:pStyle w:val="10"/>
        <w:numPr>
          <w:ilvl w:val="1"/>
          <w:numId w:val="1"/>
        </w:numPr>
        <w:spacing w:before="156" w:after="156"/>
        <w:ind w:firstLineChars="0"/>
        <w:rPr>
          <w:color w:val="000000"/>
        </w:rPr>
      </w:pPr>
      <w:r>
        <w:rPr>
          <w:rFonts w:hint="eastAsia"/>
          <w:color w:val="000000"/>
        </w:rPr>
        <w:t>地点：淮南东方医院集团招标委员会</w:t>
      </w:r>
    </w:p>
    <w:p w14:paraId="6BA0BE63">
      <w:pPr>
        <w:pStyle w:val="10"/>
        <w:numPr>
          <w:ilvl w:val="1"/>
          <w:numId w:val="1"/>
        </w:numPr>
        <w:spacing w:before="156" w:after="156"/>
        <w:ind w:firstLineChars="0"/>
        <w:rPr>
          <w:color w:val="000000"/>
        </w:rPr>
      </w:pPr>
      <w:r>
        <w:rPr>
          <w:rFonts w:hint="eastAsia"/>
          <w:color w:val="000000"/>
        </w:rPr>
        <w:t>地址：安徽省淮南市田家庵区洞山金家岭路南侧</w:t>
      </w:r>
    </w:p>
    <w:p w14:paraId="2AA5124B">
      <w:pPr>
        <w:pStyle w:val="10"/>
        <w:numPr>
          <w:ilvl w:val="1"/>
          <w:numId w:val="1"/>
        </w:numPr>
        <w:spacing w:before="156" w:after="156"/>
        <w:ind w:firstLineChars="0"/>
        <w:rPr>
          <w:color w:val="000000"/>
        </w:rPr>
      </w:pPr>
      <w:r>
        <w:rPr>
          <w:rFonts w:hint="eastAsia"/>
          <w:color w:val="000000"/>
        </w:rPr>
        <w:t xml:space="preserve">联系人：郭润     联系电话：137 0554 2299    </w:t>
      </w:r>
    </w:p>
    <w:p w14:paraId="67291179">
      <w:pPr>
        <w:pStyle w:val="10"/>
        <w:spacing w:before="156" w:after="156"/>
        <w:ind w:firstLine="2272" w:firstLineChars="947"/>
        <w:rPr>
          <w:color w:val="000000"/>
        </w:rPr>
      </w:pPr>
      <w:r>
        <w:rPr>
          <w:rFonts w:hint="eastAsia"/>
          <w:color w:val="000000"/>
        </w:rPr>
        <w:t xml:space="preserve">张雨               </w:t>
      </w:r>
      <w:r>
        <w:rPr>
          <w:rFonts w:hint="eastAsia"/>
          <w:color w:val="000000"/>
          <w:szCs w:val="24"/>
        </w:rPr>
        <w:t>153 9544 9060</w:t>
      </w:r>
    </w:p>
    <w:p w14:paraId="7E8A61EC">
      <w:pPr>
        <w:pStyle w:val="10"/>
        <w:numPr>
          <w:ilvl w:val="1"/>
          <w:numId w:val="1"/>
        </w:numPr>
        <w:spacing w:before="156" w:after="156"/>
        <w:ind w:firstLineChars="0"/>
        <w:rPr>
          <w:color w:val="000000"/>
        </w:rPr>
      </w:pPr>
      <w:r>
        <w:rPr>
          <w:rFonts w:hint="eastAsia"/>
          <w:color w:val="000000"/>
        </w:rPr>
        <w:t>购买标书价格：0元；</w:t>
      </w:r>
    </w:p>
    <w:p w14:paraId="5CC78F9E">
      <w:pPr>
        <w:pStyle w:val="10"/>
        <w:numPr>
          <w:ilvl w:val="1"/>
          <w:numId w:val="1"/>
        </w:numPr>
        <w:spacing w:before="156" w:after="156"/>
        <w:ind w:firstLineChars="0"/>
        <w:rPr>
          <w:color w:val="000000"/>
        </w:rPr>
      </w:pPr>
      <w:r>
        <w:rPr>
          <w:rFonts w:hint="eastAsia"/>
          <w:color w:val="000000"/>
        </w:rPr>
        <w:t>投标保证金：0万元。</w:t>
      </w:r>
    </w:p>
    <w:p w14:paraId="00457776">
      <w:pPr>
        <w:pStyle w:val="10"/>
        <w:numPr>
          <w:ilvl w:val="1"/>
          <w:numId w:val="1"/>
        </w:numPr>
        <w:spacing w:before="156" w:after="156"/>
        <w:ind w:firstLineChars="0"/>
        <w:rPr>
          <w:color w:val="000000"/>
        </w:rPr>
      </w:pPr>
      <w:r>
        <w:rPr>
          <w:rFonts w:hint="eastAsia"/>
          <w:color w:val="000000"/>
        </w:rPr>
        <w:t>接待时间为每个工作日8：00至16：00。</w:t>
      </w:r>
    </w:p>
    <w:p w14:paraId="420EB756">
      <w:pPr>
        <w:pStyle w:val="14"/>
        <w:numPr>
          <w:ilvl w:val="0"/>
          <w:numId w:val="1"/>
        </w:numPr>
        <w:spacing w:before="156" w:after="156"/>
        <w:ind w:firstLineChars="0"/>
        <w:rPr>
          <w:color w:val="000000"/>
        </w:rPr>
      </w:pPr>
      <w:r>
        <w:rPr>
          <w:rFonts w:hint="eastAsia"/>
          <w:color w:val="000000"/>
        </w:rPr>
        <w:t>投标截止日期：</w:t>
      </w:r>
      <w:r>
        <w:rPr>
          <w:color w:val="000000"/>
        </w:rPr>
        <w:t>20</w:t>
      </w:r>
      <w:r>
        <w:rPr>
          <w:rFonts w:hint="eastAsia"/>
          <w:color w:val="000000"/>
          <w:lang w:val="en-US" w:eastAsia="zh-CN"/>
        </w:rPr>
        <w:t>25</w:t>
      </w:r>
      <w:r>
        <w:rPr>
          <w:rFonts w:hint="eastAsia"/>
          <w:color w:val="000000"/>
        </w:rPr>
        <w:t>年</w:t>
      </w:r>
      <w:r>
        <w:rPr>
          <w:rFonts w:hint="eastAsia"/>
          <w:color w:val="000000"/>
          <w:lang w:val="en-US" w:eastAsia="zh-CN"/>
        </w:rPr>
        <w:t>09</w:t>
      </w:r>
      <w:r>
        <w:rPr>
          <w:rFonts w:hint="eastAsia"/>
          <w:color w:val="000000"/>
        </w:rPr>
        <w:t>月</w:t>
      </w:r>
      <w:r>
        <w:rPr>
          <w:rFonts w:hint="eastAsia"/>
          <w:color w:val="000000"/>
          <w:lang w:val="en-US" w:eastAsia="zh-CN"/>
        </w:rPr>
        <w:t>25</w:t>
      </w:r>
      <w:r>
        <w:rPr>
          <w:rFonts w:hint="eastAsia"/>
          <w:color w:val="000000"/>
        </w:rPr>
        <w:t>日 星期四 上午10点</w:t>
      </w:r>
    </w:p>
    <w:p w14:paraId="0ADB3AE6">
      <w:pPr>
        <w:pStyle w:val="14"/>
        <w:numPr>
          <w:ilvl w:val="0"/>
          <w:numId w:val="1"/>
        </w:numPr>
        <w:spacing w:before="156" w:after="156"/>
        <w:ind w:firstLineChars="0"/>
        <w:rPr>
          <w:color w:val="000000"/>
        </w:rPr>
      </w:pPr>
      <w:r>
        <w:rPr>
          <w:rFonts w:hint="eastAsia"/>
          <w:color w:val="000000"/>
        </w:rPr>
        <w:t>开标时间：</w:t>
      </w:r>
      <w:r>
        <w:rPr>
          <w:color w:val="000000"/>
        </w:rPr>
        <w:t>20</w:t>
      </w:r>
      <w:r>
        <w:rPr>
          <w:rFonts w:hint="eastAsia"/>
          <w:color w:val="000000"/>
          <w:lang w:val="en-US" w:eastAsia="zh-CN"/>
        </w:rPr>
        <w:t>25</w:t>
      </w:r>
      <w:r>
        <w:rPr>
          <w:rFonts w:hint="eastAsia"/>
          <w:color w:val="000000"/>
        </w:rPr>
        <w:t>年</w:t>
      </w:r>
      <w:r>
        <w:rPr>
          <w:rFonts w:hint="eastAsia"/>
          <w:color w:val="000000"/>
          <w:lang w:val="en-US" w:eastAsia="zh-CN"/>
        </w:rPr>
        <w:t>09</w:t>
      </w:r>
      <w:r>
        <w:rPr>
          <w:rFonts w:hint="eastAsia"/>
          <w:color w:val="000000"/>
        </w:rPr>
        <w:t>月</w:t>
      </w:r>
      <w:r>
        <w:rPr>
          <w:rFonts w:hint="eastAsia"/>
          <w:color w:val="000000"/>
          <w:lang w:val="en-US" w:eastAsia="zh-CN"/>
        </w:rPr>
        <w:t>26</w:t>
      </w:r>
      <w:r>
        <w:rPr>
          <w:rFonts w:hint="eastAsia"/>
          <w:color w:val="000000"/>
        </w:rPr>
        <w:t>日 星期</w:t>
      </w:r>
      <w:r>
        <w:rPr>
          <w:rFonts w:hint="eastAsia"/>
          <w:color w:val="000000"/>
          <w:lang w:val="en-US" w:eastAsia="zh-CN"/>
        </w:rPr>
        <w:t>五</w:t>
      </w:r>
      <w:r>
        <w:rPr>
          <w:rFonts w:hint="eastAsia"/>
          <w:color w:val="000000"/>
        </w:rPr>
        <w:t xml:space="preserve"> 下午</w:t>
      </w:r>
      <w:r>
        <w:rPr>
          <w:rFonts w:hint="eastAsia"/>
          <w:color w:val="000000"/>
          <w:lang w:val="en-US" w:eastAsia="zh-CN"/>
        </w:rPr>
        <w:t>15</w:t>
      </w:r>
      <w:r>
        <w:rPr>
          <w:rFonts w:hint="eastAsia"/>
          <w:color w:val="000000"/>
        </w:rPr>
        <w:t>：</w:t>
      </w:r>
      <w:r>
        <w:rPr>
          <w:rFonts w:hint="eastAsia"/>
          <w:color w:val="000000"/>
          <w:lang w:val="en-US" w:eastAsia="zh-CN"/>
        </w:rPr>
        <w:t>0</w:t>
      </w:r>
      <w:r>
        <w:rPr>
          <w:rFonts w:hint="eastAsia"/>
          <w:color w:val="000000"/>
        </w:rPr>
        <w:t>0</w:t>
      </w:r>
    </w:p>
    <w:p w14:paraId="12F1E356">
      <w:pPr>
        <w:pStyle w:val="14"/>
        <w:numPr>
          <w:ilvl w:val="0"/>
          <w:numId w:val="1"/>
        </w:numPr>
        <w:spacing w:before="156" w:after="156"/>
        <w:ind w:firstLineChars="0"/>
        <w:rPr>
          <w:color w:val="000000"/>
        </w:rPr>
      </w:pPr>
      <w:r>
        <w:rPr>
          <w:rFonts w:hint="eastAsia"/>
          <w:color w:val="000000"/>
        </w:rPr>
        <w:t>开标地点：安徽省淮南市田家庵区洞山金家岭路南侧/总医院办公楼会   议室（四）</w:t>
      </w:r>
    </w:p>
    <w:p w14:paraId="13E7E425">
      <w:pPr>
        <w:pStyle w:val="13"/>
        <w:ind w:firstLine="0" w:firstLineChars="0"/>
        <w:rPr>
          <w:color w:val="000000"/>
        </w:rPr>
      </w:pPr>
      <w:r>
        <w:rPr>
          <w:color w:val="000000"/>
        </w:rPr>
        <w:br w:type="page"/>
      </w:r>
      <w:r>
        <w:rPr>
          <w:rFonts w:hint="eastAsia"/>
          <w:color w:val="000000"/>
        </w:rPr>
        <w:t>第二部分 投标文件</w:t>
      </w:r>
    </w:p>
    <w:p w14:paraId="3575F85C">
      <w:pPr>
        <w:pStyle w:val="10"/>
        <w:numPr>
          <w:ilvl w:val="0"/>
          <w:numId w:val="2"/>
        </w:numPr>
        <w:tabs>
          <w:tab w:val="left" w:pos="284"/>
          <w:tab w:val="clear" w:pos="900"/>
        </w:tabs>
        <w:spacing w:before="156" w:after="156"/>
        <w:ind w:left="567" w:firstLineChars="0"/>
        <w:rPr>
          <w:color w:val="000000"/>
        </w:rPr>
      </w:pPr>
      <w:r>
        <w:rPr>
          <w:rFonts w:hint="eastAsia"/>
          <w:color w:val="000000"/>
        </w:rPr>
        <w:t>淮南东方医院集团体检系统技术要求及规格:</w:t>
      </w:r>
    </w:p>
    <w:p w14:paraId="5C665EB7">
      <w:pPr>
        <w:pStyle w:val="14"/>
        <w:numPr>
          <w:ilvl w:val="0"/>
          <w:numId w:val="3"/>
        </w:numPr>
        <w:spacing w:before="156" w:after="156"/>
        <w:ind w:firstLineChars="0"/>
        <w:rPr>
          <w:color w:val="000000"/>
        </w:rPr>
      </w:pPr>
      <w:r>
        <w:rPr>
          <w:rFonts w:hint="eastAsia"/>
          <w:color w:val="000000"/>
        </w:rPr>
        <w:t>对投标人的要求</w:t>
      </w:r>
    </w:p>
    <w:p w14:paraId="6E6ADEBB">
      <w:pPr>
        <w:pStyle w:val="10"/>
        <w:numPr>
          <w:ilvl w:val="1"/>
          <w:numId w:val="3"/>
        </w:numPr>
        <w:spacing w:before="156" w:after="156"/>
        <w:ind w:firstLineChars="0"/>
        <w:rPr>
          <w:color w:val="000000"/>
        </w:rPr>
      </w:pPr>
      <w:r>
        <w:rPr>
          <w:rFonts w:hint="eastAsia"/>
          <w:color w:val="000000"/>
        </w:rPr>
        <w:t>投标保证金：投标人应于递交投标书的同时交纳投标保证金，金额为人民币</w:t>
      </w:r>
      <w:r>
        <w:rPr>
          <w:rFonts w:hint="eastAsia"/>
          <w:b/>
          <w:bCs/>
          <w:color w:val="000000"/>
        </w:rPr>
        <w:t>0万元</w:t>
      </w:r>
      <w:r>
        <w:rPr>
          <w:rFonts w:hint="eastAsia"/>
          <w:color w:val="000000"/>
        </w:rPr>
        <w:t>整，作为对本次投标的保证金。</w:t>
      </w:r>
    </w:p>
    <w:p w14:paraId="68EABC82">
      <w:pPr>
        <w:pStyle w:val="10"/>
        <w:numPr>
          <w:ilvl w:val="2"/>
          <w:numId w:val="3"/>
        </w:numPr>
        <w:spacing w:before="156" w:after="156"/>
        <w:ind w:firstLineChars="0"/>
        <w:rPr>
          <w:color w:val="000000"/>
        </w:rPr>
      </w:pPr>
      <w:r>
        <w:rPr>
          <w:rFonts w:hint="eastAsia"/>
          <w:color w:val="000000"/>
        </w:rPr>
        <w:t>投标保证金是投标人对自身投标行为的承诺，如投标人采用虚假的、不真实的货物或投标价格，以及其它干扰本次投标评定的公平性的行为的，招标方将没收其投标保证金。</w:t>
      </w:r>
    </w:p>
    <w:p w14:paraId="5006BB11">
      <w:pPr>
        <w:pStyle w:val="10"/>
        <w:numPr>
          <w:ilvl w:val="2"/>
          <w:numId w:val="3"/>
        </w:numPr>
        <w:spacing w:before="156" w:after="156"/>
        <w:ind w:firstLineChars="0"/>
        <w:rPr>
          <w:color w:val="000000"/>
        </w:rPr>
      </w:pPr>
      <w:r>
        <w:rPr>
          <w:rFonts w:hint="eastAsia"/>
          <w:color w:val="000000"/>
        </w:rPr>
        <w:t>中标的投标人，其投标保证金从中标之日起转为履约保证金（不足部分另行补齐），在合同期满后十五个工作日内，一次性归还（不计利息）。</w:t>
      </w:r>
    </w:p>
    <w:p w14:paraId="286CE22E">
      <w:pPr>
        <w:pStyle w:val="10"/>
        <w:numPr>
          <w:ilvl w:val="2"/>
          <w:numId w:val="3"/>
        </w:numPr>
        <w:spacing w:before="156" w:after="156"/>
        <w:ind w:firstLineChars="0"/>
        <w:rPr>
          <w:color w:val="000000"/>
        </w:rPr>
      </w:pPr>
      <w:r>
        <w:rPr>
          <w:rFonts w:hint="eastAsia"/>
          <w:color w:val="000000"/>
        </w:rPr>
        <w:t>未中标的投标人，其投标保证金于本次投标评定完成后十五个工作日内一次性归还（不计利息）。</w:t>
      </w:r>
    </w:p>
    <w:p w14:paraId="2465DB5E">
      <w:pPr>
        <w:pStyle w:val="10"/>
        <w:numPr>
          <w:ilvl w:val="2"/>
          <w:numId w:val="3"/>
        </w:numPr>
        <w:spacing w:before="156" w:after="156"/>
        <w:ind w:firstLineChars="0"/>
        <w:rPr>
          <w:color w:val="000000"/>
        </w:rPr>
      </w:pPr>
      <w:r>
        <w:rPr>
          <w:rFonts w:hint="eastAsia"/>
          <w:color w:val="000000"/>
        </w:rPr>
        <w:t>投标保证金的归还以转账的方式汇入投标人帐户，所以投标人应在标书中明确给出投标人的汇款信息。</w:t>
      </w:r>
    </w:p>
    <w:p w14:paraId="130BF97E">
      <w:pPr>
        <w:pStyle w:val="10"/>
        <w:numPr>
          <w:ilvl w:val="2"/>
          <w:numId w:val="3"/>
        </w:numPr>
        <w:spacing w:before="156" w:after="156"/>
        <w:ind w:firstLineChars="0"/>
        <w:rPr>
          <w:color w:val="000000"/>
        </w:rPr>
      </w:pPr>
      <w:r>
        <w:rPr>
          <w:rFonts w:ascii="Arial" w:hAnsi="Arial"/>
          <w:color w:val="000000"/>
        </w:rPr>
        <w:t>投标保证金可采用下列形式之一种：</w:t>
      </w:r>
      <w:r>
        <w:rPr>
          <w:rFonts w:hint="eastAsia" w:ascii="Arial" w:hAnsi="Arial"/>
          <w:color w:val="000000"/>
        </w:rPr>
        <w:t>现金</w:t>
      </w:r>
      <w:r>
        <w:rPr>
          <w:rFonts w:ascii="Arial" w:hAnsi="Arial"/>
          <w:color w:val="000000"/>
        </w:rPr>
        <w:t>或支票。</w:t>
      </w:r>
    </w:p>
    <w:p w14:paraId="6076A430">
      <w:pPr>
        <w:pStyle w:val="10"/>
        <w:numPr>
          <w:ilvl w:val="2"/>
          <w:numId w:val="3"/>
        </w:numPr>
        <w:spacing w:before="156" w:after="156"/>
        <w:ind w:firstLineChars="0"/>
        <w:rPr>
          <w:color w:val="000000"/>
        </w:rPr>
      </w:pPr>
      <w:r>
        <w:rPr>
          <w:rFonts w:ascii="Arial" w:hAnsi="Arial"/>
          <w:color w:val="000000"/>
        </w:rPr>
        <w:t>未按要求</w:t>
      </w:r>
      <w:r>
        <w:rPr>
          <w:rFonts w:hint="eastAsia" w:ascii="Arial" w:hAnsi="Arial"/>
          <w:color w:val="000000"/>
        </w:rPr>
        <w:t>缴纳</w:t>
      </w:r>
      <w:r>
        <w:rPr>
          <w:rFonts w:ascii="Arial" w:hAnsi="Arial"/>
          <w:color w:val="000000"/>
        </w:rPr>
        <w:t>投标保证金的投标将被视为投标无效。</w:t>
      </w:r>
    </w:p>
    <w:p w14:paraId="4675B5C5">
      <w:pPr>
        <w:pStyle w:val="10"/>
        <w:numPr>
          <w:ilvl w:val="1"/>
          <w:numId w:val="3"/>
        </w:numPr>
        <w:spacing w:before="156" w:after="156"/>
        <w:ind w:firstLineChars="0"/>
        <w:rPr>
          <w:color w:val="000000"/>
        </w:rPr>
      </w:pPr>
      <w:r>
        <w:rPr>
          <w:rFonts w:hint="eastAsia"/>
          <w:color w:val="000000"/>
        </w:rPr>
        <w:t>投标人除了提供报价外，如对采购方提出的采购需求有其它建议，可另附建议书，与报价文件一同报给招标方。</w:t>
      </w:r>
    </w:p>
    <w:p w14:paraId="745C123F">
      <w:pPr>
        <w:pStyle w:val="10"/>
        <w:numPr>
          <w:ilvl w:val="1"/>
          <w:numId w:val="3"/>
        </w:numPr>
        <w:spacing w:before="156" w:after="156"/>
        <w:ind w:firstLineChars="0"/>
        <w:rPr>
          <w:color w:val="000000"/>
        </w:rPr>
      </w:pPr>
      <w:r>
        <w:rPr>
          <w:rFonts w:hint="eastAsia"/>
          <w:color w:val="000000"/>
        </w:rPr>
        <w:t>在按投标人提出的整体报价后，所发生的任何涉及该项目的不合理、不完整的问题，均由投标人免费负责解决。</w:t>
      </w:r>
    </w:p>
    <w:p w14:paraId="13BF9B1C">
      <w:pPr>
        <w:pStyle w:val="10"/>
        <w:numPr>
          <w:ilvl w:val="1"/>
          <w:numId w:val="3"/>
        </w:numPr>
        <w:spacing w:before="156" w:after="156"/>
        <w:ind w:firstLineChars="0"/>
        <w:rPr>
          <w:color w:val="000000"/>
        </w:rPr>
      </w:pPr>
      <w:r>
        <w:rPr>
          <w:rFonts w:hint="eastAsia"/>
          <w:color w:val="000000"/>
        </w:rPr>
        <w:t>投标人必须是具有独立承担民事能力的、合法经营资格的中华人民共和国境内注册的企业法人。经营范围包含本次招标采购所包含的货物。</w:t>
      </w:r>
    </w:p>
    <w:p w14:paraId="443F592A">
      <w:pPr>
        <w:pStyle w:val="10"/>
        <w:numPr>
          <w:ilvl w:val="1"/>
          <w:numId w:val="3"/>
        </w:numPr>
        <w:spacing w:before="156" w:after="156"/>
        <w:ind w:firstLineChars="0"/>
        <w:rPr>
          <w:color w:val="000000"/>
        </w:rPr>
      </w:pPr>
      <w:r>
        <w:rPr>
          <w:rFonts w:hint="eastAsia"/>
          <w:color w:val="000000"/>
        </w:rPr>
        <w:t>投标人提供的商品必须符合国家相关的标准。</w:t>
      </w:r>
    </w:p>
    <w:p w14:paraId="4B67AF8F">
      <w:pPr>
        <w:pStyle w:val="10"/>
        <w:numPr>
          <w:ilvl w:val="1"/>
          <w:numId w:val="3"/>
        </w:numPr>
        <w:spacing w:before="156" w:after="156"/>
        <w:ind w:firstLineChars="0"/>
        <w:rPr>
          <w:color w:val="000000"/>
        </w:rPr>
      </w:pPr>
      <w:r>
        <w:rPr>
          <w:rFonts w:hint="eastAsia"/>
          <w:color w:val="000000"/>
        </w:rPr>
        <w:t>投标人必须具有完善的配送能力和售后服务能力。</w:t>
      </w:r>
    </w:p>
    <w:p w14:paraId="6DA12090">
      <w:pPr>
        <w:pStyle w:val="10"/>
        <w:spacing w:before="156" w:after="156"/>
        <w:ind w:firstLine="0" w:firstLineChars="0"/>
        <w:rPr>
          <w:color w:val="000000"/>
        </w:rPr>
      </w:pPr>
    </w:p>
    <w:p w14:paraId="2EE40CE2">
      <w:pPr>
        <w:pStyle w:val="10"/>
        <w:numPr>
          <w:ilvl w:val="0"/>
          <w:numId w:val="2"/>
        </w:numPr>
        <w:spacing w:before="156" w:after="156"/>
        <w:ind w:firstLineChars="0"/>
        <w:rPr>
          <w:color w:val="000000"/>
        </w:rPr>
      </w:pPr>
      <w:r>
        <w:rPr>
          <w:rFonts w:hint="eastAsia"/>
          <w:color w:val="000000"/>
        </w:rPr>
        <w:t>项目内容</w:t>
      </w:r>
    </w:p>
    <w:p w14:paraId="0A2F6F6E">
      <w:pPr>
        <w:pStyle w:val="14"/>
        <w:numPr>
          <w:ilvl w:val="0"/>
          <w:numId w:val="4"/>
        </w:numPr>
        <w:spacing w:before="156" w:after="156"/>
        <w:ind w:firstLineChars="0"/>
        <w:rPr>
          <w:color w:val="000000"/>
        </w:rPr>
      </w:pPr>
      <w:r>
        <w:rPr>
          <w:rFonts w:hint="eastAsia"/>
          <w:color w:val="000000"/>
        </w:rPr>
        <w:t>内容</w:t>
      </w:r>
    </w:p>
    <w:p w14:paraId="7BD8379E">
      <w:pPr>
        <w:pStyle w:val="10"/>
        <w:spacing w:before="156" w:after="156"/>
        <w:ind w:firstLine="916" w:firstLineChars="382"/>
        <w:rPr>
          <w:color w:val="000000"/>
        </w:rPr>
      </w:pPr>
      <w:r>
        <w:rPr>
          <w:rFonts w:hint="eastAsia"/>
          <w:color w:val="000000"/>
        </w:rPr>
        <w:t>本次招标项目的目标是确定淮南东方医院集团体检系统。</w:t>
      </w:r>
    </w:p>
    <w:p w14:paraId="74CABD76">
      <w:pPr>
        <w:pStyle w:val="10"/>
        <w:numPr>
          <w:ilvl w:val="0"/>
          <w:numId w:val="4"/>
        </w:numPr>
        <w:spacing w:before="156" w:after="156"/>
        <w:ind w:firstLineChars="0"/>
        <w:rPr>
          <w:color w:val="000000"/>
        </w:rPr>
      </w:pPr>
      <w:r>
        <w:rPr>
          <w:rFonts w:hint="eastAsia"/>
          <w:color w:val="000000"/>
        </w:rPr>
        <w:t>有效时间</w:t>
      </w:r>
    </w:p>
    <w:p w14:paraId="47EDCFB1">
      <w:pPr>
        <w:pStyle w:val="10"/>
        <w:spacing w:before="156" w:after="156"/>
        <w:ind w:firstLine="916" w:firstLineChars="382"/>
        <w:rPr>
          <w:color w:val="000000"/>
        </w:rPr>
      </w:pPr>
      <w:r>
        <w:rPr>
          <w:rFonts w:hint="eastAsia"/>
          <w:color w:val="000000"/>
        </w:rPr>
        <w:t>（具体期限以合同为准）。</w:t>
      </w:r>
    </w:p>
    <w:p w14:paraId="782FC924">
      <w:pPr>
        <w:pStyle w:val="14"/>
        <w:numPr>
          <w:ilvl w:val="0"/>
          <w:numId w:val="4"/>
        </w:numPr>
        <w:spacing w:before="156" w:after="156"/>
        <w:ind w:firstLineChars="0"/>
        <w:rPr>
          <w:color w:val="000000"/>
        </w:rPr>
      </w:pPr>
      <w:r>
        <w:rPr>
          <w:rFonts w:hint="eastAsia"/>
          <w:color w:val="000000"/>
        </w:rPr>
        <w:t>系统要求：</w:t>
      </w:r>
    </w:p>
    <w:p w14:paraId="3ACC6C6C">
      <w:pPr>
        <w:pStyle w:val="10"/>
        <w:numPr>
          <w:ilvl w:val="1"/>
          <w:numId w:val="5"/>
        </w:numPr>
        <w:spacing w:before="156" w:after="156"/>
        <w:ind w:firstLineChars="0"/>
        <w:rPr>
          <w:color w:val="000000"/>
        </w:rPr>
      </w:pPr>
      <w:r>
        <w:rPr>
          <w:rFonts w:hint="eastAsia"/>
          <w:color w:val="000000"/>
        </w:rPr>
        <w:t>检前内容：</w:t>
      </w:r>
    </w:p>
    <w:p w14:paraId="578663EF">
      <w:pPr>
        <w:pStyle w:val="10"/>
        <w:numPr>
          <w:ilvl w:val="1"/>
          <w:numId w:val="5"/>
        </w:numPr>
        <w:spacing w:before="156" w:after="156"/>
        <w:ind w:firstLineChars="0"/>
        <w:rPr>
          <w:color w:val="000000"/>
        </w:rPr>
      </w:pPr>
      <w:r>
        <w:rPr>
          <w:rFonts w:hint="eastAsia"/>
          <w:color w:val="000000"/>
        </w:rPr>
        <w:t>可实现智能导检（掌上智能导检）、叫号系统（人性化、智能化、科学合理性兼顾，有专门的VIP处理通道）。</w:t>
      </w:r>
    </w:p>
    <w:p w14:paraId="6C763B74">
      <w:pPr>
        <w:pStyle w:val="10"/>
        <w:numPr>
          <w:ilvl w:val="1"/>
          <w:numId w:val="5"/>
        </w:numPr>
        <w:spacing w:before="156" w:after="156"/>
        <w:ind w:firstLineChars="0"/>
        <w:rPr>
          <w:color w:val="000000"/>
        </w:rPr>
      </w:pPr>
      <w:r>
        <w:rPr>
          <w:rFonts w:hint="eastAsia"/>
          <w:color w:val="000000"/>
        </w:rPr>
        <w:t>体检开始前，问卷问诊内容（包括职业健康体检相关疾病问诊内容）前置作为体检开始前的必填项。相关疾病（心脑血管、慢病等）风险评估功能，根据客户填写内容智能推荐项目，可线上自助结算付款等，可自助下载电子发票。</w:t>
      </w:r>
    </w:p>
    <w:p w14:paraId="2CD05B63">
      <w:pPr>
        <w:pStyle w:val="10"/>
        <w:numPr>
          <w:ilvl w:val="1"/>
          <w:numId w:val="5"/>
        </w:numPr>
        <w:spacing w:before="156" w:after="156"/>
        <w:ind w:firstLineChars="0"/>
        <w:rPr>
          <w:color w:val="000000"/>
        </w:rPr>
      </w:pPr>
      <w:r>
        <w:rPr>
          <w:rFonts w:hint="eastAsia"/>
          <w:color w:val="000000"/>
        </w:rPr>
        <w:t>体检项目（必选+自选、纯自选项目）、名单分类，可智能化导入体检系统。</w:t>
      </w:r>
    </w:p>
    <w:p w14:paraId="48B7B2FF">
      <w:pPr>
        <w:pStyle w:val="10"/>
        <w:numPr>
          <w:ilvl w:val="1"/>
          <w:numId w:val="5"/>
        </w:numPr>
        <w:spacing w:before="156" w:after="156"/>
        <w:ind w:firstLineChars="0"/>
        <w:rPr>
          <w:color w:val="000000"/>
        </w:rPr>
      </w:pPr>
      <w:r>
        <w:rPr>
          <w:rFonts w:hint="eastAsia"/>
          <w:color w:val="000000"/>
        </w:rPr>
        <w:t>体检项目明细、费用要与门诊或医保办实时同步。</w:t>
      </w:r>
    </w:p>
    <w:p w14:paraId="7C6443D1">
      <w:pPr>
        <w:pStyle w:val="10"/>
        <w:numPr>
          <w:ilvl w:val="1"/>
          <w:numId w:val="5"/>
        </w:numPr>
        <w:spacing w:before="156" w:after="156"/>
        <w:ind w:firstLineChars="0"/>
        <w:rPr>
          <w:color w:val="000000"/>
        </w:rPr>
      </w:pPr>
      <w:r>
        <w:rPr>
          <w:rFonts w:hint="eastAsia"/>
          <w:color w:val="000000"/>
        </w:rPr>
        <w:t>所有体检类型相关的诊断名称、建议等相关词条库要丰富、完善，软件公司提前维护好，上线后可满足体检工作的需求。新增人员、新增项目内容、新增工作人员权限等功能简便易操作。不要设置软件有效试用期。配备专职工程师专门处理我院出现的问题（工程师要与体检中心的工作时间同步，随时可处理问题）。</w:t>
      </w:r>
    </w:p>
    <w:p w14:paraId="4571397C">
      <w:pPr>
        <w:pStyle w:val="10"/>
        <w:numPr>
          <w:ilvl w:val="1"/>
          <w:numId w:val="5"/>
        </w:numPr>
        <w:spacing w:before="156" w:after="156"/>
        <w:ind w:firstLineChars="0"/>
        <w:rPr>
          <w:color w:val="000000"/>
        </w:rPr>
      </w:pPr>
      <w:r>
        <w:rPr>
          <w:rFonts w:hint="eastAsia"/>
          <w:color w:val="000000"/>
        </w:rPr>
        <w:t>根据职务开放查看权限，最高权限以集团视角，查看、汇总、统计、分析集团下属各家体检中心的相关数据，也可单独进行某一体检中心的上述操作。具有相应的</w:t>
      </w:r>
      <w:r>
        <w:rPr>
          <w:rFonts w:hint="eastAsia"/>
          <w:color w:val="FF0000"/>
          <w:u w:val="single"/>
        </w:rPr>
        <w:t>财务管理模块、慢病管理模块、客户管理模块</w:t>
      </w:r>
      <w:r>
        <w:rPr>
          <w:rFonts w:hint="eastAsia"/>
          <w:color w:val="FF0000"/>
          <w:u w:val="single"/>
          <w:lang w:eastAsia="zh-CN"/>
        </w:rPr>
        <w:t>、</w:t>
      </w:r>
      <w:r>
        <w:rPr>
          <w:rFonts w:hint="eastAsia"/>
          <w:color w:val="FF0000"/>
          <w:u w:val="single"/>
          <w:lang w:val="en-US" w:eastAsia="zh-CN"/>
        </w:rPr>
        <w:t>随访模块</w:t>
      </w:r>
      <w:r>
        <w:rPr>
          <w:rFonts w:hint="eastAsia"/>
          <w:color w:val="FF0000"/>
          <w:u w:val="single"/>
        </w:rPr>
        <w:t>等</w:t>
      </w:r>
      <w:r>
        <w:rPr>
          <w:rFonts w:hint="eastAsia"/>
          <w:color w:val="000000"/>
        </w:rPr>
        <w:t>（尤其科室辅助管理相关功能模块越多越全越好）。体检客户信息在集团所有体检中心具有唯一性，在某一体检中心已体检，其他体检中心可知晓。</w:t>
      </w:r>
    </w:p>
    <w:p w14:paraId="452D7302">
      <w:pPr>
        <w:pStyle w:val="10"/>
        <w:numPr>
          <w:ilvl w:val="1"/>
          <w:numId w:val="5"/>
        </w:numPr>
        <w:spacing w:before="156" w:after="156"/>
        <w:ind w:firstLineChars="0"/>
        <w:rPr>
          <w:color w:val="000000"/>
        </w:rPr>
      </w:pPr>
      <w:r>
        <w:rPr>
          <w:rFonts w:hint="eastAsia"/>
          <w:color w:val="000000"/>
        </w:rPr>
        <w:t>具有符合国家法律法规要求的体检电子表格：普通入职体检表、公共卫生体检、社区体检、公务员体检表、职业健康体检表、放射工作人员职业健康体检表等各类表格（尤其是公务员、职业健康、放射人员体检等这类表格、结论、建议、复查要求等一定要实符合法律法规格式的要求），有电子签和电子章。</w:t>
      </w:r>
    </w:p>
    <w:p w14:paraId="539065EB">
      <w:pPr>
        <w:pStyle w:val="10"/>
        <w:numPr>
          <w:ilvl w:val="1"/>
          <w:numId w:val="5"/>
        </w:numPr>
        <w:spacing w:before="156" w:after="156"/>
        <w:ind w:firstLineChars="0"/>
        <w:rPr>
          <w:color w:val="000000"/>
        </w:rPr>
      </w:pPr>
      <w:r>
        <w:rPr>
          <w:rFonts w:hint="eastAsia"/>
          <w:color w:val="000000"/>
        </w:rPr>
        <w:t>软件所有操作环节都可以设置批量操作，有关界面内容可自选所需内容（例如登记界面），重要信息前置可优先查看。</w:t>
      </w:r>
    </w:p>
    <w:p w14:paraId="2501CEA9">
      <w:pPr>
        <w:pStyle w:val="10"/>
        <w:numPr>
          <w:ilvl w:val="1"/>
          <w:numId w:val="5"/>
        </w:numPr>
        <w:spacing w:before="156" w:after="156"/>
        <w:ind w:firstLineChars="0"/>
        <w:rPr>
          <w:color w:val="000000"/>
        </w:rPr>
      </w:pPr>
      <w:r>
        <w:rPr>
          <w:rFonts w:hint="eastAsia"/>
          <w:color w:val="000000"/>
        </w:rPr>
        <w:t>有会员开卡功能，且简便易操作。</w:t>
      </w:r>
    </w:p>
    <w:p w14:paraId="172824B3">
      <w:pPr>
        <w:pStyle w:val="10"/>
        <w:numPr>
          <w:ilvl w:val="1"/>
          <w:numId w:val="5"/>
        </w:numPr>
        <w:spacing w:before="156" w:after="156"/>
        <w:ind w:firstLineChars="0"/>
        <w:rPr>
          <w:color w:val="000000"/>
        </w:rPr>
      </w:pPr>
      <w:r>
        <w:rPr>
          <w:color w:val="000000"/>
        </w:rPr>
        <w:t>外出健康、职业体检，能否实现局域网体检信息链接，支持外出体检，可实现局域网或离线模式运行。</w:t>
      </w:r>
    </w:p>
    <w:p w14:paraId="34DDC775">
      <w:pPr>
        <w:pStyle w:val="10"/>
        <w:numPr>
          <w:ilvl w:val="1"/>
          <w:numId w:val="5"/>
        </w:numPr>
        <w:spacing w:before="156" w:after="156"/>
        <w:ind w:firstLineChars="0"/>
        <w:rPr>
          <w:color w:val="000000"/>
        </w:rPr>
      </w:pPr>
      <w:r>
        <w:rPr>
          <w:rFonts w:hint="eastAsia" w:asciiTheme="minorEastAsia" w:hAnsiTheme="minorEastAsia" w:eastAsiaTheme="minorEastAsia"/>
          <w:color w:val="000000"/>
          <w:szCs w:val="24"/>
        </w:rPr>
        <w:t>支持内置职业健康监护规范（GBZ188）、放射工作人员健康要求及监护规范（GBZ98）标准，集成现行有效标准（体检必检项、选检项、重点检查提醒、相关职业禁忌证、相关疑似职业病）。</w:t>
      </w:r>
    </w:p>
    <w:p w14:paraId="0047966E">
      <w:pPr>
        <w:pStyle w:val="10"/>
        <w:numPr>
          <w:ilvl w:val="1"/>
          <w:numId w:val="5"/>
        </w:numPr>
        <w:spacing w:before="156" w:after="156"/>
        <w:ind w:firstLineChars="0"/>
        <w:rPr>
          <w:color w:val="000000"/>
        </w:rPr>
      </w:pPr>
      <w:r>
        <w:rPr>
          <w:rFonts w:hint="eastAsia" w:asciiTheme="minorEastAsia" w:hAnsiTheme="minorEastAsia" w:eastAsiaTheme="minorEastAsia"/>
          <w:color w:val="000000"/>
          <w:szCs w:val="24"/>
        </w:rPr>
        <w:t>针对职业病体检特殊性，系统能根据监护技术规范的要求，及时调整对上岗前、在岗期间、离岗和应急等体检项目内容新增、删减和修改，以保证所使用系统第一时间符合国家法规和政策要求。</w:t>
      </w:r>
    </w:p>
    <w:p w14:paraId="0BE47FC8">
      <w:pPr>
        <w:pStyle w:val="10"/>
        <w:numPr>
          <w:ilvl w:val="1"/>
          <w:numId w:val="5"/>
        </w:numPr>
        <w:spacing w:before="156" w:after="156"/>
        <w:ind w:firstLineChars="0"/>
        <w:rPr>
          <w:color w:val="000000"/>
        </w:rPr>
      </w:pPr>
      <w:r>
        <w:rPr>
          <w:rFonts w:hint="eastAsia" w:asciiTheme="minorEastAsia" w:hAnsiTheme="minorEastAsia" w:eastAsiaTheme="minorEastAsia"/>
          <w:color w:val="000000"/>
          <w:szCs w:val="24"/>
        </w:rPr>
        <w:t>在套餐制作环节，支持根据职业健康监护规范（GBZ188）、放射工作人员健康要求及监护规范（GBZ98）的要求，在设定好套餐在岗状态和危害因素后，自动生成体检项目组合，提示必检、选检项目目录。</w:t>
      </w:r>
    </w:p>
    <w:p w14:paraId="7A3FA8FF">
      <w:pPr>
        <w:pStyle w:val="10"/>
        <w:spacing w:before="156" w:after="156"/>
        <w:ind w:firstLine="0" w:firstLineChars="0"/>
        <w:rPr>
          <w:color w:val="000000"/>
        </w:rPr>
      </w:pPr>
    </w:p>
    <w:p w14:paraId="4A69653B">
      <w:pPr>
        <w:pStyle w:val="10"/>
        <w:spacing w:before="156" w:after="156"/>
        <w:ind w:left="720" w:firstLine="0" w:firstLineChars="0"/>
        <w:rPr>
          <w:color w:val="000000"/>
        </w:rPr>
      </w:pPr>
      <w:r>
        <w:rPr>
          <w:rFonts w:hint="eastAsia"/>
          <w:color w:val="000000"/>
        </w:rPr>
        <w:t>检中内容：</w:t>
      </w:r>
    </w:p>
    <w:p w14:paraId="340453A9">
      <w:pPr>
        <w:pStyle w:val="10"/>
        <w:numPr>
          <w:ilvl w:val="1"/>
          <w:numId w:val="6"/>
        </w:numPr>
        <w:spacing w:before="156" w:after="156"/>
        <w:ind w:firstLineChars="0"/>
        <w:rPr>
          <w:color w:val="000000"/>
        </w:rPr>
      </w:pPr>
      <w:r>
        <w:rPr>
          <w:rFonts w:hint="eastAsia"/>
          <w:color w:val="000000"/>
        </w:rPr>
        <w:t>每位体检客户在集团所有体检中心具有唯一身份且可延续（要考虑到替检、涉密单位客户的情况如何登记）。已登记客户信息、项目内容修改后可实时更新，项目内容可智能识别性别，异性项目不可录入，登记环节简洁易操作（主要是指多个人使用同一种项目）。</w:t>
      </w:r>
    </w:p>
    <w:p w14:paraId="64ADEB2B">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在登记环节，支持人脸核验设备验证持证人是否为证件本人，有效防止“代检”行为。</w:t>
      </w:r>
    </w:p>
    <w:p w14:paraId="719E1902">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在登记环节，如受检者历次体检存在职业疑似职业病、职业禁忌证的异常情况，体检登记环节自动提醒。</w:t>
      </w:r>
    </w:p>
    <w:p w14:paraId="524F1BE1">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在登记环节，支持职业转岗体检，根据原岗位危害因素及新岗位危害因素自动生成转岗信息及检项信息。满足一次体检完成多岗位体检，出具多份报告要求。</w:t>
      </w:r>
    </w:p>
    <w:p w14:paraId="7D3C6977">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在采样环节，支持采集管数、采集管颜色、采集状态的提醒。</w:t>
      </w:r>
    </w:p>
    <w:p w14:paraId="0AA2F94B">
      <w:pPr>
        <w:pStyle w:val="10"/>
        <w:numPr>
          <w:ilvl w:val="1"/>
          <w:numId w:val="6"/>
        </w:numPr>
        <w:spacing w:before="156" w:after="156"/>
        <w:ind w:firstLineChars="0"/>
        <w:rPr>
          <w:color w:val="000000"/>
        </w:rPr>
      </w:pPr>
      <w:r>
        <w:rPr>
          <w:rFonts w:hint="eastAsia"/>
          <w:color w:val="000000"/>
        </w:rPr>
        <w:t>各体检环节有提示功能，检查结果有明显阳性结果可即使提示其他相关科室，尤其是彩超和CT可提醒检查医生进一步确认，是否要修改结果，避免误诊漏诊（例如肺部CT检查时可观察到部分腹部脏器的情况，避免出现CT与腹部彩超结果有出入）。</w:t>
      </w:r>
      <w:r>
        <w:rPr>
          <w:rFonts w:hint="eastAsia" w:asciiTheme="minorEastAsia" w:hAnsiTheme="minorEastAsia" w:eastAsiaTheme="minorEastAsia"/>
          <w:color w:val="000000"/>
          <w:szCs w:val="24"/>
        </w:rPr>
        <w:t>支持受检者历史异常结果主动提醒，支持调阅受检者历史体检记录，横向展示受检者各科室检项结果的变化趋势，调阅受检者历史主检、历史问诊信息。</w:t>
      </w:r>
    </w:p>
    <w:p w14:paraId="6343CEED">
      <w:pPr>
        <w:pStyle w:val="10"/>
        <w:numPr>
          <w:ilvl w:val="1"/>
          <w:numId w:val="6"/>
        </w:numPr>
        <w:spacing w:before="156" w:after="156"/>
        <w:ind w:firstLineChars="0"/>
        <w:rPr>
          <w:color w:val="000000"/>
        </w:rPr>
      </w:pPr>
      <w:r>
        <w:rPr>
          <w:rFonts w:hint="eastAsia"/>
          <w:color w:val="000000"/>
        </w:rPr>
        <w:t>重大阳性异常、危急值一定要根据体检行业的标准（A类、B类）及时通知到体检客户本人（系统是否可实现例如短信通知跟踪复查等提醒，且可查询）。可否与临床指定的医务人员对接，参与到阳性结果客户的管理，通知临床医生做好接诊和随访的工作，且随访记录可查询和导出备查。</w:t>
      </w:r>
    </w:p>
    <w:p w14:paraId="13B17307">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系统需要支持多体检类型</w:t>
      </w:r>
      <w:r>
        <w:rPr>
          <w:rFonts w:hint="eastAsia"/>
          <w:color w:val="000000"/>
        </w:rPr>
        <w:t>（健康证体检、普通健康体检、公务员体检、职业健康体检等）</w:t>
      </w:r>
      <w:r>
        <w:rPr>
          <w:rFonts w:hint="eastAsia" w:asciiTheme="minorEastAsia" w:hAnsiTheme="minorEastAsia" w:eastAsiaTheme="minorEastAsia"/>
          <w:color w:val="000000"/>
          <w:szCs w:val="24"/>
        </w:rPr>
        <w:t>混合体检功能，结合实际情况支持一次登记多个体检类型套餐，仅需一次登记、一次体检，体检结束后按不同体检要求进行分类主检并出具不同报告的功能。</w:t>
      </w:r>
    </w:p>
    <w:p w14:paraId="5EBC2F05">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有延期管理功能，延期检查人员支持设定检查延期日期，系统自动归类延期人员进入延期管理流程。</w:t>
      </w:r>
    </w:p>
    <w:p w14:paraId="33ED82BB">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有复检管理功能，支持复检人员复检进度跟踪预警功能，提供医生查询超期未复检人员并联系。</w:t>
      </w:r>
    </w:p>
    <w:p w14:paraId="4CA91AF7">
      <w:pPr>
        <w:pStyle w:val="10"/>
        <w:numPr>
          <w:ilvl w:val="1"/>
          <w:numId w:val="6"/>
        </w:numPr>
        <w:spacing w:before="156" w:after="156"/>
        <w:ind w:firstLineChars="0"/>
        <w:rPr>
          <w:color w:val="000000"/>
        </w:rPr>
      </w:pPr>
      <w:r>
        <w:rPr>
          <w:rFonts w:hint="eastAsia"/>
          <w:color w:val="000000"/>
        </w:rPr>
        <w:t>每个功能检查科室有投诉选项，可具体到当日的检查医生，可进行月度统计。</w:t>
      </w:r>
    </w:p>
    <w:p w14:paraId="199FF0A9">
      <w:pPr>
        <w:pStyle w:val="10"/>
        <w:numPr>
          <w:ilvl w:val="1"/>
          <w:numId w:val="6"/>
        </w:numPr>
        <w:spacing w:before="156" w:after="156"/>
        <w:ind w:firstLineChars="0"/>
        <w:rPr>
          <w:color w:val="000000"/>
        </w:rPr>
      </w:pPr>
      <w:r>
        <w:rPr>
          <w:rFonts w:hint="eastAsia"/>
          <w:color w:val="000000"/>
        </w:rPr>
        <w:t>VIP客户优先总检提示功能，</w:t>
      </w:r>
    </w:p>
    <w:p w14:paraId="58C0E97A">
      <w:pPr>
        <w:pStyle w:val="10"/>
        <w:numPr>
          <w:ilvl w:val="1"/>
          <w:numId w:val="6"/>
        </w:numPr>
        <w:spacing w:before="156" w:after="156"/>
        <w:ind w:firstLineChars="0"/>
        <w:rPr>
          <w:color w:val="000000"/>
        </w:rPr>
      </w:pPr>
      <w:r>
        <w:rPr>
          <w:rFonts w:hint="eastAsia"/>
          <w:color w:val="000000"/>
        </w:rPr>
        <w:t>抽血项目尽可能合管，减少客户的抽血量。</w:t>
      </w:r>
    </w:p>
    <w:p w14:paraId="7B96C55D">
      <w:pPr>
        <w:pStyle w:val="10"/>
        <w:numPr>
          <w:ilvl w:val="1"/>
          <w:numId w:val="6"/>
        </w:numPr>
        <w:spacing w:before="156" w:after="156"/>
        <w:ind w:firstLineChars="0"/>
        <w:rPr>
          <w:color w:val="000000"/>
        </w:rPr>
      </w:pPr>
      <w:r>
        <w:rPr>
          <w:rFonts w:hint="eastAsia"/>
          <w:color w:val="000000"/>
        </w:rPr>
        <w:t>电测听检查环节，</w:t>
      </w:r>
      <w:r>
        <w:rPr>
          <w:rFonts w:hint="eastAsia" w:asciiTheme="minorEastAsia" w:hAnsiTheme="minorEastAsia" w:eastAsiaTheme="minorEastAsia"/>
          <w:color w:val="000000"/>
          <w:szCs w:val="24"/>
        </w:rPr>
        <w:t>支持对接电测听仪器设备或工作站，采集测听结果至体检系统。</w:t>
      </w:r>
    </w:p>
    <w:p w14:paraId="1D00D5D6">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在职业问诊环节，支持按监护技术规范要求完善职业健康监护档案，内容包括：档案基本信息、工龄、职业/放射职业史、家族史、烟酒史、月经史、既往病史、职业病史、婚姻史等。</w:t>
      </w:r>
    </w:p>
    <w:p w14:paraId="232CC10B">
      <w:pPr>
        <w:pStyle w:val="10"/>
        <w:numPr>
          <w:ilvl w:val="1"/>
          <w:numId w:val="6"/>
        </w:numPr>
        <w:spacing w:before="156" w:after="156"/>
        <w:ind w:firstLineChars="0"/>
        <w:rPr>
          <w:color w:val="000000"/>
        </w:rPr>
      </w:pPr>
      <w:r>
        <w:rPr>
          <w:rFonts w:hint="eastAsia" w:asciiTheme="minorEastAsia" w:hAnsiTheme="minorEastAsia" w:eastAsiaTheme="minorEastAsia"/>
          <w:color w:val="000000"/>
          <w:szCs w:val="24"/>
        </w:rPr>
        <w:t>在职业主检环节，支持根据监护规范标准智能分析受检者危害因素相关检项异常情况，智能生成危害因素对应的处理结论，支持主检医生一键快速认可自动生成主检结论及处理建议。支持根据主检医生资质对主检人群过滤，超资质范围判定支持智能提醒，支持协同主检功能。</w:t>
      </w:r>
    </w:p>
    <w:p w14:paraId="7C670E8D">
      <w:pPr>
        <w:pStyle w:val="10"/>
        <w:numPr>
          <w:ilvl w:val="1"/>
          <w:numId w:val="6"/>
        </w:numPr>
        <w:spacing w:before="156" w:after="156"/>
        <w:ind w:left="1140" w:hanging="420" w:firstLineChars="0"/>
        <w:rPr>
          <w:color w:val="000000"/>
        </w:rPr>
      </w:pPr>
      <w:r>
        <w:rPr>
          <w:rFonts w:hint="eastAsia"/>
          <w:color w:val="000000"/>
        </w:rPr>
        <w:t>AI智能总检。需要包括AI智能质控，</w:t>
      </w:r>
      <w:r>
        <w:rPr>
          <w:rFonts w:hint="eastAsia"/>
        </w:rPr>
        <w:t>能够对科室检查的结果汇总进行错别字、标点等进行纠正，识别各科室间同一器官矛盾描述，专项性别检查内容矛盾问题识别（如B超、CT描述中男性出现女性相关器官描述等）。实现智能总检，根据受检者疾病或异常指标对生命健康的危害程度及系统进行排序，区分</w:t>
      </w:r>
      <w:r>
        <w:t>AB类</w:t>
      </w:r>
      <w:r>
        <w:rPr>
          <w:rFonts w:hint="eastAsia"/>
        </w:rPr>
        <w:t>重大异常，同时区分主要健康问题、次要健康问题、异常阳性指标和健康风险。根据临床诊断是“一元论”原则，按照疾病系统合理归类，按照急、重、缓、轻进行自动排序。</w:t>
      </w:r>
    </w:p>
    <w:p w14:paraId="7F4DBBD0">
      <w:pPr>
        <w:pStyle w:val="10"/>
        <w:numPr>
          <w:ilvl w:val="1"/>
          <w:numId w:val="6"/>
        </w:numPr>
        <w:spacing w:before="156" w:after="156"/>
        <w:ind w:firstLineChars="0"/>
        <w:rPr>
          <w:color w:val="000000"/>
        </w:rPr>
      </w:pPr>
      <w:r>
        <w:rPr>
          <w:rFonts w:hint="eastAsia"/>
          <w:color w:val="000000"/>
        </w:rPr>
        <w:t>总检环节有客户既往疾病、阳性结果和既往相关疾病的提醒。</w:t>
      </w:r>
    </w:p>
    <w:p w14:paraId="32483D05">
      <w:pPr>
        <w:pStyle w:val="10"/>
        <w:numPr>
          <w:ilvl w:val="1"/>
          <w:numId w:val="6"/>
        </w:numPr>
        <w:spacing w:before="156" w:after="156"/>
        <w:ind w:firstLineChars="0"/>
        <w:rPr>
          <w:color w:val="000000"/>
        </w:rPr>
      </w:pPr>
      <w:r>
        <w:rPr>
          <w:rFonts w:hint="eastAsia"/>
          <w:color w:val="000000"/>
        </w:rPr>
        <w:t>体检结束后有满意度调查表，可分为各个单位单独分析统计、年度整体客户群体总统分析统计等，包括投诉内容，明确排名靠前的不满意问题或投诉最多的科室和个人。</w:t>
      </w:r>
    </w:p>
    <w:p w14:paraId="740A2900">
      <w:pPr>
        <w:pStyle w:val="10"/>
        <w:numPr>
          <w:ilvl w:val="1"/>
          <w:numId w:val="6"/>
        </w:numPr>
        <w:spacing w:before="156" w:after="156"/>
        <w:ind w:firstLineChars="0"/>
        <w:rPr>
          <w:color w:val="000000"/>
        </w:rPr>
      </w:pPr>
      <w:r>
        <w:rPr>
          <w:rFonts w:hint="eastAsia"/>
          <w:color w:val="000000"/>
        </w:rPr>
        <w:t>当日体检客户未完成项目有提示，并可设置延迟体检，延迟体检的项目完成后有提示，并可传输到体检报告中。</w:t>
      </w:r>
    </w:p>
    <w:p w14:paraId="2F2BAED8">
      <w:pPr>
        <w:pStyle w:val="10"/>
        <w:numPr>
          <w:ilvl w:val="1"/>
          <w:numId w:val="6"/>
        </w:numPr>
        <w:spacing w:before="156" w:after="156"/>
        <w:ind w:firstLineChars="0"/>
        <w:rPr>
          <w:color w:val="000000"/>
        </w:rPr>
      </w:pPr>
      <w:r>
        <w:rPr>
          <w:rFonts w:hint="eastAsia"/>
          <w:color w:val="000000"/>
        </w:rPr>
        <w:t>职业健康体检可自动生成企业职业健康体检总结报告书，报告书中相关的数据、表格、体检者项目明细内容等要完善，且根据我院要求对其内容进行添加或调整。</w:t>
      </w:r>
    </w:p>
    <w:p w14:paraId="76388237">
      <w:pPr>
        <w:pStyle w:val="10"/>
        <w:spacing w:before="156" w:after="156"/>
        <w:ind w:left="720" w:firstLine="0" w:firstLineChars="0"/>
        <w:rPr>
          <w:color w:val="000000"/>
        </w:rPr>
      </w:pPr>
      <w:r>
        <w:rPr>
          <w:rFonts w:hint="eastAsia"/>
          <w:color w:val="000000"/>
        </w:rPr>
        <w:t>检后内容：</w:t>
      </w:r>
    </w:p>
    <w:p w14:paraId="4A2273D9">
      <w:pPr>
        <w:pStyle w:val="10"/>
        <w:numPr>
          <w:ilvl w:val="1"/>
          <w:numId w:val="7"/>
        </w:numPr>
        <w:spacing w:before="156" w:after="156"/>
        <w:ind w:firstLineChars="0"/>
        <w:rPr>
          <w:color w:val="000000"/>
        </w:rPr>
      </w:pPr>
      <w:r>
        <w:rPr>
          <w:rFonts w:hint="eastAsia"/>
          <w:color w:val="000000"/>
        </w:rPr>
        <w:t>缺项未完成、具体未完成项目名称有提示，拒检和弃检项目有提示，相关所有提示均要方便提高总检医生总检和审核的效率。拒检、弃检项目可分单位和年度整体统计，要具体到某单位、某客户、某项目、项目价格等详细内容。</w:t>
      </w:r>
    </w:p>
    <w:p w14:paraId="57E5F282">
      <w:pPr>
        <w:pStyle w:val="10"/>
        <w:numPr>
          <w:ilvl w:val="1"/>
          <w:numId w:val="7"/>
        </w:numPr>
        <w:spacing w:before="156" w:after="156"/>
        <w:ind w:firstLineChars="0"/>
        <w:rPr>
          <w:color w:val="000000"/>
        </w:rPr>
      </w:pPr>
      <w:r>
        <w:rPr>
          <w:rFonts w:hint="eastAsia"/>
          <w:color w:val="000000"/>
        </w:rPr>
        <w:t>在检后随访环节，</w:t>
      </w:r>
      <w:r>
        <w:rPr>
          <w:rFonts w:hint="eastAsia" w:asciiTheme="minorEastAsia" w:hAnsiTheme="minorEastAsia" w:eastAsiaTheme="minorEastAsia"/>
          <w:color w:val="000000"/>
          <w:szCs w:val="24"/>
        </w:rPr>
        <w:t>支持系统在科室检查、医技系统对接抓取、总检判断的数据，根据系统内置规则自动标记重大异常指标数据，分为A类及B类分级，列入待随访任务列表，并进行警报。</w:t>
      </w:r>
    </w:p>
    <w:p w14:paraId="41D009CA">
      <w:pPr>
        <w:pStyle w:val="10"/>
        <w:numPr>
          <w:ilvl w:val="1"/>
          <w:numId w:val="7"/>
        </w:numPr>
        <w:spacing w:before="156" w:after="156"/>
        <w:ind w:firstLineChars="0"/>
        <w:rPr>
          <w:color w:val="000000"/>
        </w:rPr>
      </w:pPr>
      <w:r>
        <w:rPr>
          <w:rFonts w:hint="eastAsia"/>
          <w:color w:val="000000"/>
        </w:rPr>
        <w:t>体检报告内容要有当年的体检项目内容，相同的体检项目历年体检结果有对比（至少2年），并提供相关的复查就诊、合理膳食、干预方案等合理建议，个人体检客户、单位团体客户可形成健康档案。</w:t>
      </w:r>
    </w:p>
    <w:p w14:paraId="637187CD">
      <w:pPr>
        <w:pStyle w:val="10"/>
        <w:numPr>
          <w:ilvl w:val="1"/>
          <w:numId w:val="7"/>
        </w:numPr>
        <w:spacing w:before="156" w:after="156"/>
        <w:ind w:firstLineChars="0"/>
        <w:rPr>
          <w:color w:val="000000"/>
        </w:rPr>
      </w:pPr>
      <w:r>
        <w:rPr>
          <w:rFonts w:hint="eastAsia"/>
          <w:color w:val="000000"/>
        </w:rPr>
        <w:t>团检分析可对一级目录单位、子目录单位职工体检情况进行单独和合并分析统计。只统计分析有临床意义的项目，并形成相应的图表，肿瘤指标的阳性结果、重大阳性异常结果、危急值等相关信息前置（包括项目名称、具体结果、参考值等），对应的客户名字是否体现可勾选。</w:t>
      </w:r>
    </w:p>
    <w:p w14:paraId="5456891F">
      <w:pPr>
        <w:pStyle w:val="10"/>
        <w:numPr>
          <w:ilvl w:val="1"/>
          <w:numId w:val="7"/>
        </w:numPr>
        <w:spacing w:before="156" w:after="156"/>
        <w:ind w:firstLineChars="0"/>
        <w:rPr>
          <w:color w:val="000000"/>
        </w:rPr>
      </w:pPr>
      <w:r>
        <w:rPr>
          <w:rFonts w:hint="eastAsia"/>
          <w:color w:val="000000"/>
        </w:rPr>
        <w:t>不同体检类型的团检分析报告内容，可勾选企业与个人的查看权限和内容，尤其是隐私项目（梅毒、艾滋、两对半等）团检分析等企业需要的内容要进行屏蔽。</w:t>
      </w:r>
    </w:p>
    <w:p w14:paraId="76FA766A">
      <w:pPr>
        <w:pStyle w:val="10"/>
        <w:numPr>
          <w:ilvl w:val="1"/>
          <w:numId w:val="7"/>
        </w:numPr>
        <w:spacing w:before="156" w:after="156"/>
        <w:ind w:firstLineChars="0"/>
        <w:rPr>
          <w:color w:val="000000"/>
        </w:rPr>
      </w:pPr>
      <w:r>
        <w:rPr>
          <w:rFonts w:hint="eastAsia" w:asciiTheme="minorEastAsia" w:hAnsiTheme="minorEastAsia" w:eastAsiaTheme="minorEastAsia"/>
          <w:color w:val="000000"/>
          <w:szCs w:val="24"/>
        </w:rPr>
        <w:t>支持选定人群范围后系统自动生成符合规范的职业健康检查总结报告，放射工作人员健康检查总结报告，无需人工汇总数据。</w:t>
      </w:r>
    </w:p>
    <w:p w14:paraId="22211DC2">
      <w:pPr>
        <w:pStyle w:val="10"/>
        <w:numPr>
          <w:ilvl w:val="1"/>
          <w:numId w:val="7"/>
        </w:numPr>
        <w:spacing w:before="156" w:after="156"/>
        <w:ind w:firstLineChars="0"/>
        <w:rPr>
          <w:color w:val="000000"/>
        </w:rPr>
      </w:pPr>
      <w:r>
        <w:rPr>
          <w:rFonts w:hint="eastAsia"/>
          <w:color w:val="000000"/>
        </w:rPr>
        <w:t>职业健康体检数据与省平台对接，并能实时上传相关数据。</w:t>
      </w:r>
    </w:p>
    <w:p w14:paraId="7BB63EDA">
      <w:pPr>
        <w:pStyle w:val="10"/>
        <w:numPr>
          <w:ilvl w:val="1"/>
          <w:numId w:val="7"/>
        </w:numPr>
        <w:spacing w:before="156" w:after="156"/>
        <w:ind w:firstLineChars="0"/>
        <w:rPr>
          <w:color w:val="000000"/>
        </w:rPr>
      </w:pPr>
      <w:r>
        <w:rPr>
          <w:rFonts w:hint="eastAsia"/>
          <w:color w:val="000000"/>
        </w:rPr>
        <w:t>健康检、职业检的报告、团检分析、总结报告书等相关内容可迁移，迁移后可查看，尤其职业检可存档30年。</w:t>
      </w:r>
    </w:p>
    <w:p w14:paraId="443CBC83">
      <w:pPr>
        <w:pStyle w:val="10"/>
        <w:numPr>
          <w:ilvl w:val="1"/>
          <w:numId w:val="7"/>
        </w:numPr>
        <w:spacing w:before="156" w:after="156"/>
        <w:ind w:firstLineChars="0"/>
        <w:rPr>
          <w:color w:val="000000"/>
        </w:rPr>
      </w:pPr>
      <w:r>
        <w:rPr>
          <w:rFonts w:hint="eastAsia"/>
          <w:color w:val="000000"/>
        </w:rPr>
        <w:t>可自定义统计报表内容进行统计分析，尤其是政府、行业要求的统计数据，数据要有出处，信息要详细，对应的表格和统计内容要实时更新（例如健康体检的七大核心指标的数据统计、妇计中心月度、季度、年度相关数据的统计），数据口径要清晰可查。</w:t>
      </w:r>
    </w:p>
    <w:p w14:paraId="051114EB">
      <w:pPr>
        <w:pStyle w:val="10"/>
        <w:numPr>
          <w:ilvl w:val="1"/>
          <w:numId w:val="7"/>
        </w:numPr>
        <w:spacing w:before="156" w:after="156"/>
        <w:ind w:firstLineChars="0"/>
        <w:rPr>
          <w:color w:val="000000"/>
        </w:rPr>
      </w:pPr>
      <w:r>
        <w:rPr>
          <w:rFonts w:hint="eastAsia"/>
          <w:color w:val="000000"/>
        </w:rPr>
        <w:t>财务统计模块一定要详细，例如替检人员的还原、自费项目的剔除、弃检项目费用剔除等，可根据不同性别、婚姻状况、项目完成情况、1+X模式等进行费用统计，统计内容要详细。</w:t>
      </w:r>
    </w:p>
    <w:p w14:paraId="52080100">
      <w:pPr>
        <w:pStyle w:val="10"/>
        <w:numPr>
          <w:ilvl w:val="1"/>
          <w:numId w:val="7"/>
        </w:numPr>
        <w:spacing w:before="156" w:after="156"/>
        <w:ind w:firstLineChars="0"/>
        <w:rPr>
          <w:color w:val="000000"/>
        </w:rPr>
      </w:pPr>
      <w:r>
        <w:rPr>
          <w:rFonts w:hint="eastAsia"/>
          <w:color w:val="000000"/>
        </w:rPr>
        <w:t>根据院方工作中的变化，实时开发、调整检前、检中及检后的内容，以满足院方工作开展的需求。</w:t>
      </w:r>
    </w:p>
    <w:p w14:paraId="3DE58E51">
      <w:pPr>
        <w:pStyle w:val="10"/>
        <w:spacing w:before="156" w:after="156"/>
        <w:ind w:left="720" w:firstLine="0" w:firstLineChars="0"/>
        <w:rPr>
          <w:color w:val="000000"/>
        </w:rPr>
      </w:pPr>
      <w:r>
        <w:rPr>
          <w:rFonts w:hint="eastAsia"/>
          <w:color w:val="000000"/>
        </w:rPr>
        <w:t>技术要求：</w:t>
      </w:r>
    </w:p>
    <w:p w14:paraId="65F2F5A8">
      <w:pPr>
        <w:pStyle w:val="10"/>
        <w:numPr>
          <w:ilvl w:val="1"/>
          <w:numId w:val="8"/>
        </w:numPr>
        <w:spacing w:before="156" w:after="156"/>
        <w:ind w:firstLineChars="0"/>
        <w:rPr>
          <w:color w:val="FF0000"/>
        </w:rPr>
      </w:pPr>
      <w:r>
        <w:rPr>
          <w:rFonts w:hint="eastAsia"/>
          <w:color w:val="FF0000"/>
        </w:rPr>
        <w:t>体检系统为多机构版本，混合体检包含：健康体检、职业病体检、入职体检、驾照体检、卫生餐饮健康体检、公务员体检、学校体检、公卫体检等。其中职业病体检为集团内三家医疗机构（总医院、凤凰医院、淮化医院），其他健康体检为集团内五家医疗机构（总医院、凤凰医院、淮化医院、广济医院、新庄孜医院）。</w:t>
      </w:r>
    </w:p>
    <w:p w14:paraId="2BEE50EC">
      <w:pPr>
        <w:pStyle w:val="10"/>
        <w:numPr>
          <w:ilvl w:val="1"/>
          <w:numId w:val="8"/>
        </w:numPr>
        <w:spacing w:before="156" w:after="156"/>
        <w:ind w:firstLineChars="0"/>
        <w:rPr>
          <w:color w:val="FF0000"/>
        </w:rPr>
      </w:pPr>
      <w:r>
        <w:rPr>
          <w:rFonts w:hint="eastAsia"/>
          <w:color w:val="FF0000"/>
        </w:rPr>
        <w:t>淮化医院涉及智能导诊模块要求与手机小程序联动方便患者随时检查队列状态，与下一检查科室智能推荐。其中诊室小屏50点位，抽血窗口9点位，等候展示大屏3点位</w:t>
      </w:r>
    </w:p>
    <w:p w14:paraId="3ECB54D2">
      <w:pPr>
        <w:pStyle w:val="10"/>
        <w:numPr>
          <w:ilvl w:val="1"/>
          <w:numId w:val="8"/>
        </w:numPr>
        <w:spacing w:before="156" w:after="156"/>
        <w:ind w:firstLineChars="0"/>
        <w:rPr>
          <w:color w:val="FF0000"/>
        </w:rPr>
      </w:pPr>
      <w:r>
        <w:rPr>
          <w:rFonts w:hint="eastAsia"/>
          <w:color w:val="FF0000"/>
        </w:rPr>
        <w:t>投标标书中需体现新增机构的报价，系统运维报价，项目免费运维三年。</w:t>
      </w:r>
    </w:p>
    <w:p w14:paraId="37F38A8A">
      <w:pPr>
        <w:pStyle w:val="10"/>
        <w:numPr>
          <w:ilvl w:val="1"/>
          <w:numId w:val="8"/>
        </w:numPr>
        <w:spacing w:before="156" w:after="156"/>
        <w:ind w:firstLineChars="0"/>
        <w:rPr>
          <w:color w:val="FF0000"/>
        </w:rPr>
      </w:pPr>
      <w:r>
        <w:rPr>
          <w:rFonts w:hint="eastAsia"/>
          <w:color w:val="FF0000"/>
        </w:rPr>
        <w:t>运维维保期内，体检系统功能（包含职业体检系统）需满足国家政策类要求，且因国家政策类要求导致的升级给予免费。职业病体检相关设备因故障和功能要求不满足导致的更换对接，中标方需免费配合和支持。</w:t>
      </w:r>
    </w:p>
    <w:p w14:paraId="6DC0A65E">
      <w:pPr>
        <w:pStyle w:val="10"/>
        <w:numPr>
          <w:ilvl w:val="1"/>
          <w:numId w:val="8"/>
        </w:numPr>
        <w:spacing w:before="156" w:after="156"/>
        <w:ind w:firstLineChars="0"/>
        <w:rPr>
          <w:color w:val="FF0000"/>
        </w:rPr>
      </w:pPr>
      <w:r>
        <w:rPr>
          <w:rFonts w:hint="eastAsia"/>
          <w:color w:val="FF0000"/>
        </w:rPr>
        <w:t>系统需支持国产化信创要求</w:t>
      </w:r>
    </w:p>
    <w:p w14:paraId="042387D6">
      <w:pPr>
        <w:pStyle w:val="10"/>
        <w:numPr>
          <w:ilvl w:val="1"/>
          <w:numId w:val="8"/>
        </w:numPr>
        <w:spacing w:before="156" w:after="156"/>
        <w:ind w:firstLineChars="0"/>
        <w:rPr>
          <w:color w:val="FF0000"/>
        </w:rPr>
      </w:pPr>
      <w:r>
        <w:rPr>
          <w:rFonts w:hint="eastAsia"/>
          <w:color w:val="FF0000"/>
          <w:lang w:val="en-US" w:eastAsia="zh-CN"/>
        </w:rPr>
        <w:t>职业病体检电测听设备需要对接体检软件并有二次计算功能</w:t>
      </w:r>
      <w:r>
        <w:rPr>
          <w:rFonts w:hint="eastAsia"/>
          <w:color w:val="FF0000"/>
          <w:lang w:eastAsia="zh-CN"/>
        </w:rPr>
        <w:t>。</w:t>
      </w:r>
    </w:p>
    <w:p w14:paraId="613E6943">
      <w:pPr>
        <w:pStyle w:val="10"/>
        <w:numPr>
          <w:ilvl w:val="1"/>
          <w:numId w:val="8"/>
        </w:numPr>
        <w:spacing w:before="156" w:after="156"/>
        <w:ind w:firstLineChars="0"/>
        <w:rPr>
          <w:color w:val="FF0000"/>
        </w:rPr>
      </w:pPr>
      <w:r>
        <w:rPr>
          <w:rFonts w:hint="eastAsia"/>
          <w:color w:val="FF0000"/>
          <w:lang w:val="en-US" w:eastAsia="zh-CN"/>
        </w:rPr>
        <w:t>本次项目要求多机构版本，共用数据库。针对大客户项目可以</w:t>
      </w:r>
      <w:r>
        <w:rPr>
          <w:rFonts w:hint="eastAsia" w:cs="宋体"/>
          <w:color w:val="FF0000"/>
          <w:sz w:val="24"/>
          <w:szCs w:val="24"/>
          <w:lang w:val="en-US" w:eastAsia="zh-CN"/>
        </w:rPr>
        <w:t>导入，多点检查，统一出个检和团检报告并有相关报告分析。</w:t>
      </w:r>
    </w:p>
    <w:p w14:paraId="0E188A65">
      <w:pPr>
        <w:pStyle w:val="14"/>
        <w:spacing w:before="156" w:after="156"/>
        <w:ind w:left="480" w:firstLine="0" w:firstLineChars="0"/>
        <w:rPr>
          <w:color w:val="000000"/>
        </w:rPr>
      </w:pPr>
    </w:p>
    <w:p w14:paraId="0B91BB4C">
      <w:pPr>
        <w:pStyle w:val="10"/>
        <w:numPr>
          <w:ilvl w:val="0"/>
          <w:numId w:val="2"/>
        </w:numPr>
        <w:spacing w:before="156" w:after="156"/>
        <w:ind w:firstLineChars="0"/>
        <w:rPr>
          <w:color w:val="000000"/>
        </w:rPr>
      </w:pPr>
      <w:r>
        <w:rPr>
          <w:rFonts w:hint="eastAsia"/>
          <w:color w:val="000000"/>
        </w:rPr>
        <w:t>关于投标文件</w:t>
      </w:r>
    </w:p>
    <w:p w14:paraId="61763858">
      <w:pPr>
        <w:pStyle w:val="14"/>
        <w:numPr>
          <w:ilvl w:val="0"/>
          <w:numId w:val="9"/>
        </w:numPr>
        <w:spacing w:before="156" w:after="156"/>
        <w:ind w:firstLineChars="0"/>
        <w:rPr>
          <w:color w:val="000000"/>
        </w:rPr>
      </w:pPr>
      <w:r>
        <w:rPr>
          <w:rFonts w:hint="eastAsia"/>
          <w:color w:val="000000"/>
        </w:rPr>
        <w:t>请投标方在投标文件中如实答复下例条款：</w:t>
      </w:r>
    </w:p>
    <w:p w14:paraId="3F158405">
      <w:pPr>
        <w:pStyle w:val="10"/>
        <w:numPr>
          <w:ilvl w:val="0"/>
          <w:numId w:val="10"/>
        </w:numPr>
        <w:spacing w:before="156" w:after="156"/>
        <w:ind w:firstLineChars="0"/>
        <w:rPr>
          <w:color w:val="000000"/>
        </w:rPr>
      </w:pPr>
      <w:r>
        <w:rPr>
          <w:rFonts w:hint="eastAsia"/>
          <w:color w:val="000000"/>
        </w:rPr>
        <w:t>公司简介（代理品牌，成立时间）</w:t>
      </w:r>
    </w:p>
    <w:p w14:paraId="6F9AB4E2">
      <w:pPr>
        <w:pStyle w:val="10"/>
        <w:numPr>
          <w:ilvl w:val="0"/>
          <w:numId w:val="10"/>
        </w:numPr>
        <w:spacing w:before="156" w:after="156"/>
        <w:ind w:firstLineChars="0"/>
        <w:rPr>
          <w:color w:val="000000"/>
        </w:rPr>
      </w:pPr>
      <w:r>
        <w:rPr>
          <w:rFonts w:hint="eastAsia"/>
          <w:color w:val="000000"/>
        </w:rPr>
        <w:t>公司近三年的业绩情况（经营规模、近一年内中标医院、年销售额）</w:t>
      </w:r>
    </w:p>
    <w:p w14:paraId="2A5750F1">
      <w:pPr>
        <w:pStyle w:val="10"/>
        <w:numPr>
          <w:ilvl w:val="0"/>
          <w:numId w:val="10"/>
        </w:numPr>
        <w:spacing w:before="156" w:after="156"/>
        <w:ind w:firstLineChars="0"/>
        <w:rPr>
          <w:color w:val="000000"/>
        </w:rPr>
      </w:pPr>
      <w:r>
        <w:rPr>
          <w:rFonts w:hint="eastAsia"/>
          <w:color w:val="000000"/>
        </w:rPr>
        <w:t>公司的资信等级等。</w:t>
      </w:r>
    </w:p>
    <w:p w14:paraId="3B2930EA">
      <w:pPr>
        <w:pStyle w:val="14"/>
        <w:numPr>
          <w:ilvl w:val="0"/>
          <w:numId w:val="9"/>
        </w:numPr>
        <w:spacing w:before="156" w:after="156"/>
        <w:ind w:firstLineChars="0"/>
        <w:rPr>
          <w:color w:val="000000"/>
        </w:rPr>
      </w:pPr>
      <w:r>
        <w:rPr>
          <w:rFonts w:hint="eastAsia"/>
          <w:color w:val="000000"/>
        </w:rPr>
        <w:t>投标文件中须附带的证件：</w:t>
      </w:r>
    </w:p>
    <w:p w14:paraId="07034B1B">
      <w:pPr>
        <w:pStyle w:val="10"/>
        <w:numPr>
          <w:ilvl w:val="1"/>
          <w:numId w:val="9"/>
        </w:numPr>
        <w:spacing w:before="156" w:after="156"/>
        <w:ind w:firstLineChars="0"/>
        <w:rPr>
          <w:color w:val="000000"/>
        </w:rPr>
      </w:pPr>
      <w:r>
        <w:rPr>
          <w:rFonts w:hint="eastAsia"/>
          <w:color w:val="000000"/>
        </w:rPr>
        <w:t>企业法人营业执照</w:t>
      </w:r>
    </w:p>
    <w:p w14:paraId="204FD895">
      <w:pPr>
        <w:pStyle w:val="10"/>
        <w:numPr>
          <w:ilvl w:val="1"/>
          <w:numId w:val="9"/>
        </w:numPr>
        <w:spacing w:before="156" w:after="156"/>
        <w:ind w:firstLineChars="0"/>
        <w:rPr>
          <w:color w:val="000000"/>
        </w:rPr>
      </w:pPr>
      <w:r>
        <w:rPr>
          <w:rFonts w:hint="eastAsia"/>
          <w:color w:val="000000"/>
        </w:rPr>
        <w:t>税务登记证</w:t>
      </w:r>
    </w:p>
    <w:p w14:paraId="61D2D9B1">
      <w:pPr>
        <w:pStyle w:val="10"/>
        <w:numPr>
          <w:ilvl w:val="1"/>
          <w:numId w:val="9"/>
        </w:numPr>
        <w:spacing w:before="156" w:after="156"/>
        <w:ind w:firstLineChars="0"/>
        <w:rPr>
          <w:color w:val="000000"/>
        </w:rPr>
      </w:pPr>
      <w:r>
        <w:rPr>
          <w:rFonts w:hint="eastAsia"/>
          <w:color w:val="000000"/>
        </w:rPr>
        <w:t>尽可能多地提供代理许可证（代理授权函）</w:t>
      </w:r>
    </w:p>
    <w:p w14:paraId="222BD9ED">
      <w:pPr>
        <w:pStyle w:val="10"/>
        <w:numPr>
          <w:ilvl w:val="1"/>
          <w:numId w:val="9"/>
        </w:numPr>
        <w:spacing w:before="156" w:after="156"/>
        <w:ind w:firstLineChars="0"/>
        <w:rPr>
          <w:color w:val="000000"/>
        </w:rPr>
      </w:pPr>
      <w:r>
        <w:rPr>
          <w:rFonts w:hint="eastAsia"/>
          <w:color w:val="000000"/>
        </w:rPr>
        <w:t>产品质量保证及售后服务承诺书</w:t>
      </w:r>
    </w:p>
    <w:p w14:paraId="5D711490">
      <w:pPr>
        <w:pStyle w:val="10"/>
        <w:numPr>
          <w:ilvl w:val="1"/>
          <w:numId w:val="9"/>
        </w:numPr>
        <w:spacing w:before="156" w:after="156"/>
        <w:ind w:firstLineChars="0"/>
        <w:rPr>
          <w:color w:val="000000"/>
        </w:rPr>
      </w:pPr>
      <w:r>
        <w:rPr>
          <w:rFonts w:hint="eastAsia"/>
          <w:color w:val="000000"/>
        </w:rPr>
        <w:t>法人授权书（原件）</w:t>
      </w:r>
    </w:p>
    <w:p w14:paraId="53ED07F1">
      <w:pPr>
        <w:pStyle w:val="14"/>
        <w:numPr>
          <w:ilvl w:val="0"/>
          <w:numId w:val="9"/>
        </w:numPr>
        <w:spacing w:before="156" w:after="156"/>
        <w:ind w:firstLineChars="0"/>
        <w:rPr>
          <w:color w:val="000000"/>
        </w:rPr>
      </w:pPr>
      <w:r>
        <w:rPr>
          <w:rFonts w:hint="eastAsia"/>
          <w:color w:val="000000"/>
        </w:rPr>
        <w:t>投标文件的密封与标记：</w:t>
      </w:r>
    </w:p>
    <w:p w14:paraId="6A03F333">
      <w:pPr>
        <w:pStyle w:val="10"/>
        <w:numPr>
          <w:ilvl w:val="0"/>
          <w:numId w:val="11"/>
        </w:numPr>
        <w:spacing w:before="156" w:after="156"/>
        <w:ind w:firstLineChars="0"/>
        <w:rPr>
          <w:color w:val="000000"/>
        </w:rPr>
      </w:pPr>
      <w:r>
        <w:rPr>
          <w:rFonts w:hint="eastAsia"/>
          <w:color w:val="000000"/>
        </w:rPr>
        <w:t>投标文件一式四份（一份正本，三份副本），投标方应将投文件分别密封，并在封口处加盖投标方单位的公章，在投标文件封皮明显处注明如下信息：</w:t>
      </w:r>
    </w:p>
    <w:p w14:paraId="7CF5C2D5">
      <w:pPr>
        <w:pStyle w:val="10"/>
        <w:spacing w:before="156" w:after="156"/>
        <w:ind w:left="630" w:leftChars="300" w:firstLine="480"/>
        <w:rPr>
          <w:color w:val="000000"/>
        </w:rPr>
      </w:pPr>
      <w:r>
        <w:rPr>
          <w:rFonts w:hint="eastAsia"/>
          <w:color w:val="000000"/>
        </w:rPr>
        <w:t>招标人：淮南东方医院集团</w:t>
      </w:r>
    </w:p>
    <w:p w14:paraId="6467FE5A">
      <w:pPr>
        <w:pStyle w:val="10"/>
        <w:spacing w:before="156" w:after="156"/>
        <w:ind w:left="630" w:leftChars="300" w:firstLine="480"/>
        <w:rPr>
          <w:color w:val="000000"/>
        </w:rPr>
      </w:pPr>
      <w:r>
        <w:rPr>
          <w:rFonts w:hint="eastAsia"/>
          <w:color w:val="000000"/>
        </w:rPr>
        <w:t>招标项目名称：淮南东方医院集团体检系统</w:t>
      </w:r>
    </w:p>
    <w:p w14:paraId="3CCDB66D">
      <w:pPr>
        <w:pStyle w:val="10"/>
        <w:spacing w:before="156" w:after="156"/>
        <w:ind w:left="630" w:leftChars="300" w:firstLine="480"/>
        <w:rPr>
          <w:color w:val="000000"/>
        </w:rPr>
      </w:pPr>
      <w:r>
        <w:rPr>
          <w:rFonts w:hint="eastAsia"/>
          <w:color w:val="000000"/>
        </w:rPr>
        <w:t>投标方的名称（加盖公章）、地址、电话、并说明“开标明启封”的字样。</w:t>
      </w:r>
    </w:p>
    <w:p w14:paraId="25AF0F69">
      <w:pPr>
        <w:pStyle w:val="10"/>
        <w:numPr>
          <w:ilvl w:val="0"/>
          <w:numId w:val="11"/>
        </w:numPr>
        <w:spacing w:before="156" w:after="156"/>
        <w:ind w:firstLineChars="0"/>
        <w:rPr>
          <w:color w:val="000000"/>
        </w:rPr>
      </w:pPr>
      <w:r>
        <w:rPr>
          <w:rFonts w:hint="eastAsia"/>
          <w:color w:val="000000"/>
        </w:rPr>
        <w:t>投标文件字体宋体、A4幅面纸张打印</w:t>
      </w:r>
    </w:p>
    <w:p w14:paraId="21EBDBC5">
      <w:pPr>
        <w:pStyle w:val="10"/>
        <w:numPr>
          <w:ilvl w:val="0"/>
          <w:numId w:val="2"/>
        </w:numPr>
        <w:spacing w:before="156" w:after="156"/>
        <w:ind w:firstLineChars="0"/>
        <w:rPr>
          <w:color w:val="000000"/>
        </w:rPr>
      </w:pPr>
      <w:r>
        <w:rPr>
          <w:rFonts w:hint="eastAsia"/>
          <w:color w:val="000000"/>
        </w:rPr>
        <w:t>招投标文件的补充</w:t>
      </w:r>
    </w:p>
    <w:p w14:paraId="51D7A57E">
      <w:pPr>
        <w:pStyle w:val="14"/>
        <w:numPr>
          <w:ilvl w:val="0"/>
          <w:numId w:val="12"/>
        </w:numPr>
        <w:spacing w:before="156" w:after="156"/>
        <w:ind w:firstLineChars="0"/>
        <w:rPr>
          <w:color w:val="000000"/>
        </w:rPr>
      </w:pPr>
      <w:r>
        <w:rPr>
          <w:rFonts w:hint="eastAsia"/>
          <w:color w:val="000000"/>
        </w:rPr>
        <w:t>投标方应自行承担所有与编写和提交投标文件有关的费用，不论投标的结果如何，招标方在任何情况下均无义务和责任承担这些费用。</w:t>
      </w:r>
    </w:p>
    <w:p w14:paraId="5AE4AEA1">
      <w:pPr>
        <w:pStyle w:val="14"/>
        <w:numPr>
          <w:ilvl w:val="0"/>
          <w:numId w:val="12"/>
        </w:numPr>
        <w:spacing w:before="156" w:after="156"/>
        <w:ind w:firstLineChars="0"/>
        <w:rPr>
          <w:color w:val="000000"/>
        </w:rPr>
      </w:pPr>
      <w:r>
        <w:rPr>
          <w:rFonts w:hint="eastAsia"/>
          <w:color w:val="000000"/>
        </w:rPr>
        <w:t>投标文件必须在招标方规定的投标截止日期前送达（或邮递）到投标地点，过期不候。</w:t>
      </w:r>
    </w:p>
    <w:p w14:paraId="1D440A60">
      <w:pPr>
        <w:pStyle w:val="14"/>
        <w:numPr>
          <w:ilvl w:val="0"/>
          <w:numId w:val="12"/>
        </w:numPr>
        <w:spacing w:before="156" w:after="156"/>
        <w:ind w:firstLineChars="0"/>
        <w:rPr>
          <w:color w:val="000000"/>
        </w:rPr>
      </w:pPr>
      <w:r>
        <w:rPr>
          <w:rFonts w:hint="eastAsia"/>
          <w:color w:val="000000"/>
        </w:rPr>
        <w:t>对投标软件售后服务方案做出详细承诺，要具体写出服务响应时间。</w:t>
      </w:r>
    </w:p>
    <w:p w14:paraId="0666841A">
      <w:pPr>
        <w:pStyle w:val="10"/>
        <w:numPr>
          <w:ilvl w:val="0"/>
          <w:numId w:val="2"/>
        </w:numPr>
        <w:spacing w:before="156" w:after="156"/>
        <w:ind w:firstLineChars="0"/>
        <w:rPr>
          <w:color w:val="000000"/>
        </w:rPr>
      </w:pPr>
      <w:r>
        <w:rPr>
          <w:rFonts w:hint="eastAsia"/>
          <w:color w:val="000000"/>
        </w:rPr>
        <w:t>投标书送达方式及地点：</w:t>
      </w:r>
    </w:p>
    <w:p w14:paraId="7E0878D8">
      <w:pPr>
        <w:pStyle w:val="10"/>
        <w:spacing w:before="156" w:after="156"/>
        <w:ind w:firstLine="480"/>
        <w:rPr>
          <w:color w:val="000000"/>
        </w:rPr>
      </w:pPr>
      <w:r>
        <w:rPr>
          <w:rFonts w:hint="eastAsia"/>
          <w:color w:val="000000"/>
        </w:rPr>
        <w:t>投标方式：递交</w:t>
      </w:r>
    </w:p>
    <w:p w14:paraId="4E4512BB">
      <w:pPr>
        <w:pStyle w:val="10"/>
        <w:spacing w:before="156" w:after="156"/>
        <w:ind w:firstLine="480"/>
        <w:rPr>
          <w:color w:val="000000"/>
        </w:rPr>
      </w:pPr>
      <w:r>
        <w:rPr>
          <w:rFonts w:hint="eastAsia"/>
          <w:color w:val="000000"/>
        </w:rPr>
        <w:t>递交地址：淮南东方医院集团总医院办公楼会议室（四）</w:t>
      </w:r>
    </w:p>
    <w:p w14:paraId="3B9926CD">
      <w:pPr>
        <w:pStyle w:val="13"/>
        <w:ind w:firstLine="0" w:firstLineChars="0"/>
        <w:rPr>
          <w:color w:val="000000"/>
        </w:rPr>
      </w:pPr>
      <w:r>
        <w:rPr>
          <w:color w:val="000000"/>
        </w:rPr>
        <w:br w:type="page"/>
      </w:r>
      <w:r>
        <w:rPr>
          <w:rFonts w:hint="eastAsia"/>
          <w:color w:val="000000"/>
        </w:rPr>
        <w:t>第三部分  开标、评标及定标</w:t>
      </w:r>
    </w:p>
    <w:p w14:paraId="16EC1E5E">
      <w:pPr>
        <w:pStyle w:val="10"/>
        <w:numPr>
          <w:ilvl w:val="0"/>
          <w:numId w:val="13"/>
        </w:numPr>
        <w:spacing w:before="156" w:after="156"/>
        <w:ind w:firstLineChars="0"/>
        <w:rPr>
          <w:color w:val="000000"/>
        </w:rPr>
      </w:pPr>
      <w:r>
        <w:rPr>
          <w:rFonts w:hint="eastAsia"/>
          <w:color w:val="000000"/>
        </w:rPr>
        <w:t>开标：</w:t>
      </w:r>
    </w:p>
    <w:p w14:paraId="38951DDE">
      <w:pPr>
        <w:pStyle w:val="14"/>
        <w:numPr>
          <w:ilvl w:val="0"/>
          <w:numId w:val="14"/>
        </w:numPr>
        <w:spacing w:before="156" w:after="156"/>
        <w:ind w:firstLineChars="0"/>
        <w:rPr>
          <w:color w:val="000000"/>
        </w:rPr>
      </w:pPr>
      <w:r>
        <w:rPr>
          <w:rFonts w:hint="eastAsia"/>
          <w:color w:val="000000"/>
        </w:rPr>
        <w:t>开标地点：淮南东方医院集团总医院办公楼会议室</w:t>
      </w:r>
    </w:p>
    <w:p w14:paraId="32ED5FE8">
      <w:pPr>
        <w:pStyle w:val="14"/>
        <w:numPr>
          <w:ilvl w:val="0"/>
          <w:numId w:val="14"/>
        </w:numPr>
        <w:spacing w:before="156" w:after="156"/>
        <w:ind w:firstLineChars="0"/>
        <w:rPr>
          <w:color w:val="000000"/>
        </w:rPr>
      </w:pPr>
      <w:r>
        <w:rPr>
          <w:rFonts w:hint="eastAsia"/>
          <w:color w:val="000000"/>
        </w:rPr>
        <w:t>开标时间：20</w:t>
      </w:r>
      <w:r>
        <w:rPr>
          <w:rFonts w:hint="eastAsia"/>
          <w:color w:val="000000"/>
          <w:lang w:val="en-US" w:eastAsia="zh-CN"/>
        </w:rPr>
        <w:t>25</w:t>
      </w:r>
      <w:r>
        <w:rPr>
          <w:rFonts w:hint="eastAsia"/>
          <w:color w:val="000000"/>
        </w:rPr>
        <w:t>年</w:t>
      </w:r>
      <w:r>
        <w:rPr>
          <w:rFonts w:hint="eastAsia"/>
          <w:color w:val="000000"/>
          <w:lang w:val="en-US" w:eastAsia="zh-CN"/>
        </w:rPr>
        <w:t>09</w:t>
      </w:r>
      <w:r>
        <w:rPr>
          <w:rFonts w:hint="eastAsia"/>
          <w:color w:val="000000"/>
        </w:rPr>
        <w:t>月</w:t>
      </w:r>
      <w:r>
        <w:rPr>
          <w:rFonts w:hint="eastAsia"/>
          <w:color w:val="000000"/>
          <w:lang w:val="en-US" w:eastAsia="zh-CN"/>
        </w:rPr>
        <w:t>26</w:t>
      </w:r>
      <w:r>
        <w:rPr>
          <w:rFonts w:hint="eastAsia"/>
          <w:color w:val="000000"/>
        </w:rPr>
        <w:t>日 P</w:t>
      </w:r>
      <w:r>
        <w:rPr>
          <w:color w:val="000000"/>
        </w:rPr>
        <w:t xml:space="preserve">M </w:t>
      </w:r>
      <w:r>
        <w:rPr>
          <w:rFonts w:hint="eastAsia"/>
          <w:color w:val="000000"/>
          <w:lang w:val="en-US" w:eastAsia="zh-CN"/>
        </w:rPr>
        <w:t>15:00</w:t>
      </w:r>
    </w:p>
    <w:p w14:paraId="392AE355">
      <w:pPr>
        <w:pStyle w:val="14"/>
        <w:numPr>
          <w:ilvl w:val="0"/>
          <w:numId w:val="14"/>
        </w:numPr>
        <w:spacing w:before="156" w:after="156"/>
        <w:ind w:firstLineChars="0"/>
        <w:rPr>
          <w:color w:val="000000"/>
        </w:rPr>
      </w:pPr>
      <w:r>
        <w:rPr>
          <w:rFonts w:hint="eastAsia"/>
          <w:color w:val="000000"/>
        </w:rPr>
        <w:t>开标：由招标工作组依据招标文件规定的时间和地点，开启投标人提交的投标文件，整理并记录投标文件的主要内容，并在开标记录上签字认定。</w:t>
      </w:r>
    </w:p>
    <w:p w14:paraId="1D637F28">
      <w:pPr>
        <w:pStyle w:val="14"/>
        <w:numPr>
          <w:ilvl w:val="0"/>
          <w:numId w:val="14"/>
        </w:numPr>
        <w:spacing w:before="156" w:after="156"/>
        <w:ind w:firstLineChars="0"/>
        <w:rPr>
          <w:color w:val="000000"/>
        </w:rPr>
      </w:pPr>
      <w:r>
        <w:rPr>
          <w:rFonts w:hint="eastAsia"/>
          <w:color w:val="000000"/>
        </w:rPr>
        <w:t>开标条件：投标公司至少要达到3家方可开标，如不足3家则流标。</w:t>
      </w:r>
    </w:p>
    <w:p w14:paraId="2113DE02">
      <w:pPr>
        <w:pStyle w:val="10"/>
        <w:numPr>
          <w:ilvl w:val="0"/>
          <w:numId w:val="13"/>
        </w:numPr>
        <w:spacing w:before="156" w:after="156"/>
        <w:ind w:firstLineChars="0"/>
        <w:rPr>
          <w:color w:val="000000"/>
        </w:rPr>
      </w:pPr>
      <w:r>
        <w:rPr>
          <w:rFonts w:hint="eastAsia"/>
          <w:color w:val="000000"/>
        </w:rPr>
        <w:t>评标：</w:t>
      </w:r>
    </w:p>
    <w:p w14:paraId="71B014BB">
      <w:pPr>
        <w:pStyle w:val="14"/>
        <w:numPr>
          <w:ilvl w:val="0"/>
          <w:numId w:val="15"/>
        </w:numPr>
        <w:spacing w:before="156" w:after="156"/>
        <w:ind w:firstLineChars="0"/>
        <w:rPr>
          <w:color w:val="000000"/>
        </w:rPr>
      </w:pPr>
      <w:r>
        <w:rPr>
          <w:rFonts w:hint="eastAsia"/>
          <w:color w:val="000000"/>
        </w:rPr>
        <w:t>评标工作组根据下列原则进行评标</w:t>
      </w:r>
    </w:p>
    <w:p w14:paraId="51ED76CF">
      <w:pPr>
        <w:pStyle w:val="10"/>
        <w:numPr>
          <w:ilvl w:val="1"/>
          <w:numId w:val="15"/>
        </w:numPr>
        <w:spacing w:before="156" w:after="156"/>
        <w:ind w:firstLineChars="0"/>
        <w:rPr>
          <w:color w:val="000000"/>
        </w:rPr>
      </w:pPr>
      <w:r>
        <w:rPr>
          <w:rFonts w:hint="eastAsia"/>
          <w:color w:val="000000"/>
        </w:rPr>
        <w:t>综合分析投标方的各项指标，不以单项指标的优劣评选中标单位。</w:t>
      </w:r>
    </w:p>
    <w:p w14:paraId="68F20323">
      <w:pPr>
        <w:pStyle w:val="10"/>
        <w:numPr>
          <w:ilvl w:val="1"/>
          <w:numId w:val="15"/>
        </w:numPr>
        <w:spacing w:before="156" w:after="156"/>
        <w:ind w:firstLineChars="0"/>
        <w:rPr>
          <w:color w:val="000000"/>
        </w:rPr>
      </w:pPr>
      <w:r>
        <w:rPr>
          <w:rFonts w:hint="eastAsia"/>
          <w:color w:val="000000"/>
        </w:rPr>
        <w:t>对所有投标方的投标评估，采用相同的程序和标准。</w:t>
      </w:r>
    </w:p>
    <w:p w14:paraId="700B7C74">
      <w:pPr>
        <w:pStyle w:val="10"/>
        <w:numPr>
          <w:ilvl w:val="1"/>
          <w:numId w:val="15"/>
        </w:numPr>
        <w:spacing w:before="156" w:after="156"/>
        <w:ind w:firstLineChars="0"/>
        <w:rPr>
          <w:color w:val="000000"/>
        </w:rPr>
      </w:pPr>
      <w:r>
        <w:rPr>
          <w:rFonts w:hint="eastAsia"/>
          <w:color w:val="000000"/>
        </w:rPr>
        <w:t>保守投标方的商业秘密。</w:t>
      </w:r>
    </w:p>
    <w:p w14:paraId="27AE8E0F">
      <w:pPr>
        <w:pStyle w:val="10"/>
        <w:numPr>
          <w:ilvl w:val="1"/>
          <w:numId w:val="15"/>
        </w:numPr>
        <w:spacing w:before="156" w:after="156"/>
        <w:ind w:firstLineChars="0"/>
        <w:rPr>
          <w:color w:val="000000"/>
        </w:rPr>
      </w:pPr>
      <w:r>
        <w:rPr>
          <w:rFonts w:hint="eastAsia"/>
          <w:color w:val="000000"/>
        </w:rPr>
        <w:t>不对各落标方解释落标原因，不退还投标文件。</w:t>
      </w:r>
    </w:p>
    <w:p w14:paraId="2AC7A3DF">
      <w:pPr>
        <w:pStyle w:val="10"/>
        <w:numPr>
          <w:ilvl w:val="1"/>
          <w:numId w:val="15"/>
        </w:numPr>
        <w:spacing w:before="156" w:after="156"/>
        <w:ind w:firstLineChars="0"/>
        <w:rPr>
          <w:color w:val="000000"/>
        </w:rPr>
      </w:pPr>
      <w:r>
        <w:rPr>
          <w:rFonts w:hint="eastAsia"/>
          <w:color w:val="000000"/>
        </w:rPr>
        <w:t>评标过程中，评标工作组可以要求投标方对投标文件中不明确的地方进行必要的澄清、说明或答辩，投标方必须按时派专人或以书面形式进行澄清、说明，但不得对投标文件的内容进行实质性修改。</w:t>
      </w:r>
    </w:p>
    <w:p w14:paraId="119500C7">
      <w:pPr>
        <w:pStyle w:val="10"/>
        <w:numPr>
          <w:ilvl w:val="1"/>
          <w:numId w:val="15"/>
        </w:numPr>
        <w:spacing w:before="156" w:after="156"/>
        <w:ind w:firstLineChars="0"/>
        <w:rPr>
          <w:color w:val="000000"/>
        </w:rPr>
      </w:pPr>
      <w:r>
        <w:rPr>
          <w:rFonts w:hint="eastAsia"/>
          <w:color w:val="000000"/>
        </w:rPr>
        <w:t>投标方不得干扰招标方的评标活动，否则将废除其投标文件，取消其投标资格，并没收投标保证金。</w:t>
      </w:r>
    </w:p>
    <w:p w14:paraId="47342C66">
      <w:pPr>
        <w:pStyle w:val="10"/>
        <w:numPr>
          <w:ilvl w:val="1"/>
          <w:numId w:val="15"/>
        </w:numPr>
        <w:spacing w:before="156" w:after="156"/>
        <w:ind w:firstLineChars="0"/>
        <w:rPr>
          <w:color w:val="000000"/>
        </w:rPr>
      </w:pPr>
      <w:r>
        <w:rPr>
          <w:rFonts w:hint="eastAsia"/>
          <w:color w:val="000000"/>
        </w:rPr>
        <w:t>投标方不得相互串通投标报标，不得排挤其他投标方的公平竞争，在评标期间，投标方不得向评委询问情况，不得进行有违公正的活动，否则将被取消投标资格，并没收投标保证金。</w:t>
      </w:r>
    </w:p>
    <w:p w14:paraId="5AFB08F2">
      <w:pPr>
        <w:pStyle w:val="10"/>
        <w:spacing w:before="156" w:after="156"/>
        <w:ind w:firstLine="556" w:firstLineChars="232"/>
        <w:rPr>
          <w:color w:val="000000"/>
        </w:rPr>
      </w:pPr>
      <w:r>
        <w:rPr>
          <w:rFonts w:hint="eastAsia"/>
          <w:color w:val="000000"/>
        </w:rPr>
        <w:t>2.  评标办法</w:t>
      </w:r>
    </w:p>
    <w:p w14:paraId="2E833866">
      <w:pPr>
        <w:pStyle w:val="4"/>
        <w:snapToGrid w:val="0"/>
        <w:spacing w:line="300" w:lineRule="auto"/>
        <w:ind w:firstLine="900" w:firstLineChars="375"/>
        <w:jc w:val="both"/>
        <w:rPr>
          <w:rFonts w:ascii="Times New Roman"/>
          <w:color w:val="000000"/>
        </w:rPr>
      </w:pPr>
      <w:r>
        <w:rPr>
          <w:rFonts w:ascii="Times New Roman"/>
          <w:color w:val="000000"/>
        </w:rPr>
        <w:t>1</w:t>
      </w:r>
      <w:r>
        <w:rPr>
          <w:rFonts w:hint="eastAsia" w:ascii="Times New Roman"/>
          <w:color w:val="000000"/>
        </w:rPr>
        <w:t>）</w:t>
      </w:r>
      <w:r>
        <w:rPr>
          <w:rFonts w:ascii="Times New Roman"/>
          <w:color w:val="000000"/>
        </w:rPr>
        <w:t>评标算法</w:t>
      </w:r>
    </w:p>
    <w:p w14:paraId="1D6EE0FE">
      <w:pPr>
        <w:pStyle w:val="4"/>
        <w:snapToGrid w:val="0"/>
        <w:spacing w:line="300" w:lineRule="auto"/>
        <w:ind w:firstLine="1320" w:firstLineChars="550"/>
        <w:jc w:val="both"/>
        <w:rPr>
          <w:rFonts w:ascii="Times New Roman"/>
          <w:color w:val="000000"/>
        </w:rPr>
      </w:pPr>
      <w:r>
        <w:rPr>
          <w:rFonts w:ascii="Times New Roman"/>
          <w:color w:val="000000"/>
        </w:rPr>
        <w:t>投标文件的评估依据下列公式计算：</w:t>
      </w:r>
    </w:p>
    <w:p w14:paraId="654F4A39">
      <w:pPr>
        <w:pStyle w:val="4"/>
        <w:snapToGrid w:val="0"/>
        <w:spacing w:line="300" w:lineRule="auto"/>
        <w:ind w:firstLine="1320" w:firstLineChars="550"/>
        <w:jc w:val="both"/>
        <w:rPr>
          <w:rFonts w:ascii="Times New Roman"/>
          <w:color w:val="000000"/>
        </w:rPr>
      </w:pPr>
      <w:r>
        <w:rPr>
          <w:rFonts w:ascii="Times New Roman"/>
          <w:color w:val="000000"/>
        </w:rPr>
        <w:t xml:space="preserve">总分   S ＝ C + B – D </w:t>
      </w:r>
    </w:p>
    <w:p w14:paraId="58975084">
      <w:pPr>
        <w:pStyle w:val="4"/>
        <w:snapToGrid w:val="0"/>
        <w:spacing w:line="300" w:lineRule="auto"/>
        <w:ind w:firstLine="1320" w:firstLineChars="550"/>
        <w:jc w:val="both"/>
        <w:rPr>
          <w:rFonts w:ascii="Times New Roman"/>
          <w:color w:val="000000"/>
        </w:rPr>
      </w:pPr>
      <w:r>
        <w:rPr>
          <w:rFonts w:ascii="Times New Roman"/>
          <w:color w:val="000000"/>
        </w:rPr>
        <w:t>其中： C：投标价格得分（满分为</w:t>
      </w:r>
      <w:r>
        <w:rPr>
          <w:rFonts w:hint="eastAsia" w:ascii="Times New Roman"/>
          <w:color w:val="000000"/>
        </w:rPr>
        <w:t>30</w:t>
      </w:r>
      <w:r>
        <w:rPr>
          <w:rFonts w:ascii="Times New Roman"/>
          <w:color w:val="000000"/>
        </w:rPr>
        <w:t>分）</w:t>
      </w:r>
    </w:p>
    <w:p w14:paraId="1F7D2424">
      <w:pPr>
        <w:pStyle w:val="4"/>
        <w:tabs>
          <w:tab w:val="left" w:pos="2640"/>
        </w:tabs>
        <w:snapToGrid w:val="0"/>
        <w:spacing w:line="300" w:lineRule="auto"/>
        <w:ind w:firstLine="2160" w:firstLineChars="900"/>
        <w:jc w:val="both"/>
        <w:rPr>
          <w:rFonts w:ascii="Times New Roman"/>
          <w:color w:val="000000"/>
        </w:rPr>
      </w:pPr>
      <w:bookmarkStart w:id="0" w:name="_Toc491055617"/>
      <w:bookmarkStart w:id="1" w:name="_Toc491054510"/>
      <w:bookmarkStart w:id="2" w:name="_Toc101934332"/>
      <w:bookmarkStart w:id="3" w:name="_Toc100117797"/>
      <w:bookmarkStart w:id="4" w:name="_Toc101933972"/>
      <w:bookmarkStart w:id="5" w:name="_Toc100116641"/>
      <w:r>
        <w:rPr>
          <w:rFonts w:ascii="Times New Roman"/>
          <w:color w:val="000000"/>
        </w:rPr>
        <w:t>D：投标缺项</w:t>
      </w:r>
      <w:r>
        <w:rPr>
          <w:rFonts w:hint="eastAsia" w:ascii="Times New Roman"/>
          <w:color w:val="000000"/>
        </w:rPr>
        <w:t>、</w:t>
      </w:r>
      <w:r>
        <w:rPr>
          <w:rFonts w:ascii="Times New Roman"/>
          <w:color w:val="000000"/>
        </w:rPr>
        <w:t>漏项</w:t>
      </w:r>
      <w:r>
        <w:rPr>
          <w:rFonts w:hint="eastAsia" w:ascii="Times New Roman"/>
          <w:color w:val="000000"/>
        </w:rPr>
        <w:t>得</w:t>
      </w:r>
      <w:r>
        <w:rPr>
          <w:rFonts w:ascii="Times New Roman"/>
          <w:color w:val="000000"/>
        </w:rPr>
        <w:t>分</w:t>
      </w:r>
    </w:p>
    <w:p w14:paraId="1E80B9BF">
      <w:pPr>
        <w:pStyle w:val="4"/>
        <w:tabs>
          <w:tab w:val="left" w:pos="2520"/>
        </w:tabs>
        <w:snapToGrid w:val="0"/>
        <w:spacing w:line="300" w:lineRule="auto"/>
        <w:ind w:left="2155" w:leftChars="1026" w:firstLine="0"/>
        <w:jc w:val="both"/>
        <w:rPr>
          <w:rFonts w:ascii="Times New Roman"/>
          <w:color w:val="000000"/>
        </w:rPr>
      </w:pPr>
      <w:r>
        <w:rPr>
          <w:rFonts w:hint="eastAsia" w:ascii="Times New Roman"/>
          <w:color w:val="000000"/>
        </w:rPr>
        <w:t>B</w:t>
      </w:r>
      <w:r>
        <w:rPr>
          <w:rFonts w:ascii="Times New Roman"/>
          <w:color w:val="000000"/>
        </w:rPr>
        <w:t>：</w:t>
      </w:r>
      <w:r>
        <w:rPr>
          <w:rFonts w:hint="eastAsia" w:ascii="Times New Roman"/>
          <w:color w:val="000000"/>
        </w:rPr>
        <w:t>投标公司资质、信誉、服务能力、</w:t>
      </w:r>
      <w:r>
        <w:rPr>
          <w:rFonts w:hint="eastAsia"/>
          <w:color w:val="000000"/>
        </w:rPr>
        <w:t>交货周期、</w:t>
      </w:r>
      <w:r>
        <w:rPr>
          <w:rFonts w:hint="eastAsia" w:ascii="Times New Roman"/>
          <w:color w:val="000000"/>
        </w:rPr>
        <w:t>系统技术功能满足东方医院集团体检中心系统要求及优惠条件</w:t>
      </w:r>
      <w:r>
        <w:rPr>
          <w:rFonts w:ascii="Times New Roman"/>
          <w:color w:val="000000"/>
        </w:rPr>
        <w:t>得分（满分为</w:t>
      </w:r>
      <w:r>
        <w:rPr>
          <w:rFonts w:hint="eastAsia" w:ascii="Times New Roman"/>
          <w:color w:val="000000"/>
        </w:rPr>
        <w:t>70</w:t>
      </w:r>
      <w:r>
        <w:rPr>
          <w:rFonts w:ascii="Times New Roman"/>
          <w:color w:val="000000"/>
        </w:rPr>
        <w:t>分）</w:t>
      </w:r>
    </w:p>
    <w:p w14:paraId="2964A05F">
      <w:pPr>
        <w:pStyle w:val="4"/>
        <w:tabs>
          <w:tab w:val="left" w:pos="2520"/>
        </w:tabs>
        <w:snapToGrid w:val="0"/>
        <w:spacing w:line="300" w:lineRule="auto"/>
        <w:ind w:left="2155" w:leftChars="1026" w:firstLine="0"/>
        <w:jc w:val="both"/>
        <w:rPr>
          <w:rFonts w:ascii="Times New Roman"/>
          <w:color w:val="000000"/>
        </w:rPr>
      </w:pPr>
    </w:p>
    <w:p w14:paraId="7E980B64">
      <w:pPr>
        <w:pStyle w:val="4"/>
        <w:tabs>
          <w:tab w:val="left" w:pos="2640"/>
        </w:tabs>
        <w:snapToGrid w:val="0"/>
        <w:spacing w:line="300" w:lineRule="auto"/>
        <w:ind w:firstLine="2160" w:firstLineChars="900"/>
        <w:jc w:val="both"/>
        <w:rPr>
          <w:rFonts w:ascii="Times New Roman"/>
          <w:color w:val="000000"/>
        </w:rPr>
      </w:pPr>
    </w:p>
    <w:p w14:paraId="2BB3CA74">
      <w:pPr>
        <w:pStyle w:val="4"/>
        <w:snapToGrid w:val="0"/>
        <w:spacing w:line="300" w:lineRule="auto"/>
        <w:ind w:firstLine="0"/>
        <w:jc w:val="both"/>
        <w:rPr>
          <w:rFonts w:ascii="Times New Roman"/>
          <w:color w:val="000000"/>
        </w:rPr>
      </w:pPr>
    </w:p>
    <w:p w14:paraId="4FE6F7FC">
      <w:pPr>
        <w:pStyle w:val="4"/>
        <w:snapToGrid w:val="0"/>
        <w:spacing w:line="300" w:lineRule="auto"/>
        <w:ind w:firstLine="960" w:firstLineChars="400"/>
        <w:jc w:val="both"/>
        <w:rPr>
          <w:rFonts w:ascii="Times New Roman"/>
          <w:color w:val="000000"/>
        </w:rPr>
      </w:pPr>
      <w:r>
        <w:rPr>
          <w:rFonts w:ascii="Times New Roman"/>
          <w:color w:val="000000"/>
        </w:rPr>
        <w:t>2</w:t>
      </w:r>
      <w:r>
        <w:rPr>
          <w:rFonts w:hint="eastAsia" w:ascii="Times New Roman"/>
          <w:color w:val="000000"/>
        </w:rPr>
        <w:t>）</w:t>
      </w:r>
      <w:r>
        <w:rPr>
          <w:rFonts w:ascii="Times New Roman"/>
          <w:color w:val="000000"/>
        </w:rPr>
        <w:t>投标价格得分(C)的计算</w:t>
      </w:r>
      <w:bookmarkEnd w:id="0"/>
      <w:bookmarkEnd w:id="1"/>
      <w:bookmarkEnd w:id="2"/>
      <w:bookmarkEnd w:id="3"/>
      <w:bookmarkEnd w:id="4"/>
      <w:bookmarkEnd w:id="5"/>
    </w:p>
    <w:p w14:paraId="37711C0F">
      <w:pPr>
        <w:pStyle w:val="4"/>
        <w:snapToGrid w:val="0"/>
        <w:spacing w:line="300" w:lineRule="auto"/>
        <w:ind w:firstLine="1320" w:firstLineChars="550"/>
        <w:jc w:val="both"/>
        <w:rPr>
          <w:rFonts w:ascii="Times New Roman"/>
          <w:color w:val="000000"/>
        </w:rPr>
      </w:pPr>
      <w:r>
        <w:rPr>
          <w:rFonts w:ascii="Times New Roman"/>
          <w:color w:val="000000"/>
        </w:rPr>
        <w:t xml:space="preserve">价格分 C ＝ (Cmin / Cn) </w:t>
      </w:r>
      <w:r>
        <w:rPr>
          <w:rFonts w:ascii="Times New Roman"/>
          <w:color w:val="000000"/>
        </w:rPr>
        <w:sym w:font="Symbol" w:char="F0B4"/>
      </w:r>
      <w:r>
        <w:rPr>
          <w:rFonts w:ascii="Times New Roman"/>
          <w:color w:val="000000"/>
        </w:rPr>
        <w:t xml:space="preserve"> X</w:t>
      </w:r>
    </w:p>
    <w:p w14:paraId="154B6EB6">
      <w:pPr>
        <w:pStyle w:val="4"/>
        <w:tabs>
          <w:tab w:val="left" w:pos="2160"/>
        </w:tabs>
        <w:snapToGrid w:val="0"/>
        <w:spacing w:line="300" w:lineRule="auto"/>
        <w:ind w:firstLine="1320" w:firstLineChars="550"/>
        <w:jc w:val="both"/>
        <w:rPr>
          <w:rFonts w:ascii="Times New Roman"/>
          <w:color w:val="000000"/>
        </w:rPr>
      </w:pPr>
      <w:r>
        <w:rPr>
          <w:rFonts w:ascii="Times New Roman"/>
          <w:color w:val="000000"/>
        </w:rPr>
        <w:t>其中： C：</w:t>
      </w:r>
      <w:r>
        <w:rPr>
          <w:rFonts w:ascii="Times New Roman"/>
          <w:color w:val="000000"/>
        </w:rPr>
        <w:tab/>
      </w:r>
      <w:r>
        <w:rPr>
          <w:rFonts w:ascii="Times New Roman"/>
          <w:color w:val="000000"/>
        </w:rPr>
        <w:t>投标价格得分</w:t>
      </w:r>
    </w:p>
    <w:p w14:paraId="79E1E42E">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Cmin：</w:t>
      </w:r>
      <w:r>
        <w:rPr>
          <w:rFonts w:ascii="Times New Roman"/>
          <w:color w:val="000000"/>
        </w:rPr>
        <w:tab/>
      </w:r>
      <w:r>
        <w:rPr>
          <w:rFonts w:ascii="Times New Roman"/>
          <w:color w:val="000000"/>
        </w:rPr>
        <w:t>全部有效投标人</w:t>
      </w:r>
      <w:r>
        <w:rPr>
          <w:rFonts w:hint="eastAsia" w:ascii="Times New Roman"/>
          <w:color w:val="000000"/>
        </w:rPr>
        <w:t>报价</w:t>
      </w:r>
      <w:r>
        <w:rPr>
          <w:rFonts w:ascii="Times New Roman"/>
          <w:color w:val="000000"/>
        </w:rPr>
        <w:t>中的最低评估价</w:t>
      </w:r>
      <w:r>
        <w:rPr>
          <w:rFonts w:hint="eastAsia" w:ascii="Times New Roman"/>
          <w:color w:val="000000"/>
        </w:rPr>
        <w:t>(基准价)</w:t>
      </w:r>
    </w:p>
    <w:p w14:paraId="430115FE">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Cn：</w:t>
      </w:r>
      <w:r>
        <w:rPr>
          <w:rFonts w:ascii="Times New Roman"/>
          <w:color w:val="000000"/>
        </w:rPr>
        <w:tab/>
      </w:r>
      <w:r>
        <w:rPr>
          <w:rFonts w:ascii="Times New Roman"/>
          <w:color w:val="000000"/>
        </w:rPr>
        <w:t>投标人评估价</w:t>
      </w:r>
    </w:p>
    <w:p w14:paraId="6983D010">
      <w:pPr>
        <w:pStyle w:val="4"/>
        <w:tabs>
          <w:tab w:val="left" w:pos="2160"/>
        </w:tabs>
        <w:snapToGrid w:val="0"/>
        <w:spacing w:line="300" w:lineRule="auto"/>
        <w:ind w:firstLine="2160" w:firstLineChars="900"/>
        <w:jc w:val="both"/>
        <w:rPr>
          <w:rFonts w:ascii="Times New Roman"/>
          <w:color w:val="000000"/>
        </w:rPr>
      </w:pPr>
      <w:r>
        <w:rPr>
          <w:rFonts w:ascii="Times New Roman"/>
          <w:color w:val="000000"/>
        </w:rPr>
        <w:t>X：</w:t>
      </w:r>
      <w:r>
        <w:rPr>
          <w:rFonts w:hint="eastAsia" w:ascii="Times New Roman"/>
          <w:color w:val="000000"/>
        </w:rPr>
        <w:t>价格满分30分</w:t>
      </w:r>
      <w:r>
        <w:rPr>
          <w:rFonts w:ascii="Times New Roman"/>
          <w:color w:val="000000"/>
        </w:rPr>
        <w:t>（</w:t>
      </w:r>
      <w:r>
        <w:rPr>
          <w:rFonts w:hint="eastAsia" w:ascii="Times New Roman"/>
          <w:color w:val="000000"/>
        </w:rPr>
        <w:t>30</w:t>
      </w:r>
      <w:r>
        <w:rPr>
          <w:rFonts w:ascii="Times New Roman"/>
          <w:color w:val="000000"/>
        </w:rPr>
        <w:t>分）</w:t>
      </w:r>
    </w:p>
    <w:p w14:paraId="2E4DC39F">
      <w:pPr>
        <w:pStyle w:val="4"/>
        <w:tabs>
          <w:tab w:val="left" w:pos="2160"/>
        </w:tabs>
        <w:snapToGrid w:val="0"/>
        <w:spacing w:line="300" w:lineRule="auto"/>
        <w:jc w:val="both"/>
        <w:rPr>
          <w:rFonts w:ascii="Times New Roman"/>
          <w:color w:val="000000"/>
        </w:rPr>
      </w:pPr>
      <w:r>
        <w:rPr>
          <w:rFonts w:ascii="Segoe UI" w:hAnsi="Segoe UI" w:eastAsia="Segoe UI" w:cs="Segoe UI"/>
          <w:shd w:val="clear" w:color="auto" w:fill="FFFFFF"/>
        </w:rPr>
        <w:t>（例：基准价 100 万，某投标价 110 万，得分 = 100/110×</w:t>
      </w:r>
      <w:r>
        <w:rPr>
          <w:rFonts w:hint="eastAsia" w:ascii="Segoe UI" w:hAnsi="Segoe UI" w:cs="Segoe UI"/>
          <w:shd w:val="clear" w:color="auto" w:fill="FFFFFF"/>
        </w:rPr>
        <w:t>3</w:t>
      </w:r>
      <w:r>
        <w:rPr>
          <w:rFonts w:ascii="Segoe UI" w:hAnsi="Segoe UI" w:eastAsia="Segoe UI" w:cs="Segoe UI"/>
          <w:shd w:val="clear" w:color="auto" w:fill="FFFFFF"/>
        </w:rPr>
        <w:t>0≈54.5 分）</w:t>
      </w:r>
    </w:p>
    <w:p w14:paraId="66FE276C">
      <w:pPr>
        <w:snapToGrid w:val="0"/>
        <w:spacing w:line="300" w:lineRule="auto"/>
        <w:ind w:firstLine="420"/>
        <w:rPr>
          <w:color w:val="000000"/>
        </w:rPr>
      </w:pPr>
    </w:p>
    <w:p w14:paraId="455EB72A">
      <w:pPr>
        <w:snapToGrid w:val="0"/>
        <w:spacing w:line="300" w:lineRule="auto"/>
        <w:ind w:firstLine="960" w:firstLineChars="400"/>
        <w:rPr>
          <w:color w:val="000000"/>
          <w:sz w:val="24"/>
        </w:rPr>
      </w:pPr>
      <w:r>
        <w:rPr>
          <w:color w:val="000000"/>
          <w:sz w:val="24"/>
        </w:rPr>
        <w:t>3</w:t>
      </w:r>
      <w:r>
        <w:rPr>
          <w:rFonts w:hint="eastAsia"/>
          <w:color w:val="000000"/>
          <w:sz w:val="24"/>
        </w:rPr>
        <w:t>）</w:t>
      </w:r>
      <w:r>
        <w:rPr>
          <w:color w:val="000000"/>
          <w:sz w:val="24"/>
        </w:rPr>
        <w:t>投标缺项漏项</w:t>
      </w:r>
      <w:r>
        <w:rPr>
          <w:rFonts w:hint="eastAsia"/>
          <w:color w:val="000000"/>
          <w:sz w:val="24"/>
        </w:rPr>
        <w:t>得</w:t>
      </w:r>
      <w:r>
        <w:rPr>
          <w:color w:val="000000"/>
          <w:sz w:val="24"/>
        </w:rPr>
        <w:t>分（D）的计算</w:t>
      </w:r>
    </w:p>
    <w:p w14:paraId="2E6F3ED5">
      <w:pPr>
        <w:snapToGrid w:val="0"/>
        <w:spacing w:line="300" w:lineRule="auto"/>
        <w:ind w:left="1365" w:leftChars="650" w:firstLine="0" w:firstLineChars="0"/>
        <w:rPr>
          <w:color w:val="000000"/>
        </w:rPr>
      </w:pPr>
      <w:r>
        <w:rPr>
          <w:color w:val="000000"/>
          <w:sz w:val="24"/>
        </w:rPr>
        <w:t>若经评标工作组评估确认投标人存在缺项漏项，则按其缺项漏项部分的价值量在其投标价中所占的比例加倍</w:t>
      </w:r>
      <w:r>
        <w:rPr>
          <w:rFonts w:hint="eastAsia"/>
          <w:color w:val="000000"/>
          <w:sz w:val="24"/>
        </w:rPr>
        <w:t>得</w:t>
      </w:r>
      <w:r>
        <w:rPr>
          <w:color w:val="000000"/>
          <w:sz w:val="24"/>
        </w:rPr>
        <w:t>分，计算公式如下：</w:t>
      </w:r>
    </w:p>
    <w:p w14:paraId="0D2E4E89">
      <w:pPr>
        <w:snapToGrid w:val="0"/>
        <w:spacing w:line="300" w:lineRule="auto"/>
        <w:ind w:left="1365" w:leftChars="650" w:firstLine="0" w:firstLineChars="0"/>
        <w:rPr>
          <w:color w:val="000000"/>
          <w:sz w:val="24"/>
        </w:rPr>
      </w:pPr>
      <w:r>
        <w:rPr>
          <w:rFonts w:hint="eastAsia"/>
          <w:color w:val="000000"/>
          <w:sz w:val="24"/>
        </w:rPr>
        <w:t>缺项、</w:t>
      </w:r>
      <w:r>
        <w:rPr>
          <w:color w:val="000000"/>
          <w:sz w:val="24"/>
        </w:rPr>
        <w:t xml:space="preserve">漏项分 D = ( Wn / Cn ) </w:t>
      </w:r>
      <w:r>
        <w:rPr>
          <w:color w:val="000000"/>
          <w:sz w:val="24"/>
        </w:rPr>
        <w:sym w:font="Symbol" w:char="F0B4"/>
      </w:r>
      <w:r>
        <w:rPr>
          <w:color w:val="000000"/>
          <w:sz w:val="24"/>
        </w:rPr>
        <w:t xml:space="preserve"> 2</w:t>
      </w:r>
    </w:p>
    <w:p w14:paraId="729594A5">
      <w:pPr>
        <w:snapToGrid w:val="0"/>
        <w:spacing w:line="300" w:lineRule="auto"/>
        <w:ind w:left="1365" w:leftChars="650" w:firstLine="0" w:firstLineChars="0"/>
        <w:rPr>
          <w:color w:val="000000"/>
          <w:sz w:val="24"/>
        </w:rPr>
      </w:pPr>
      <w:r>
        <w:rPr>
          <w:color w:val="000000"/>
          <w:sz w:val="24"/>
        </w:rPr>
        <w:t>其中： D：</w:t>
      </w:r>
      <w:r>
        <w:rPr>
          <w:color w:val="000000"/>
          <w:sz w:val="24"/>
        </w:rPr>
        <w:tab/>
      </w:r>
      <w:r>
        <w:rPr>
          <w:color w:val="000000"/>
          <w:sz w:val="24"/>
        </w:rPr>
        <w:t>缺项漏项</w:t>
      </w:r>
      <w:r>
        <w:rPr>
          <w:rFonts w:hint="eastAsia"/>
          <w:color w:val="000000"/>
          <w:sz w:val="24"/>
        </w:rPr>
        <w:t>得</w:t>
      </w:r>
      <w:r>
        <w:rPr>
          <w:color w:val="000000"/>
          <w:sz w:val="24"/>
        </w:rPr>
        <w:t>分</w:t>
      </w:r>
    </w:p>
    <w:p w14:paraId="00E8D205">
      <w:pPr>
        <w:pStyle w:val="4"/>
        <w:tabs>
          <w:tab w:val="left" w:pos="2160"/>
        </w:tabs>
        <w:snapToGrid w:val="0"/>
        <w:spacing w:line="300" w:lineRule="auto"/>
        <w:ind w:left="2713" w:leftChars="1006" w:hanging="600" w:hangingChars="250"/>
        <w:jc w:val="both"/>
        <w:rPr>
          <w:rFonts w:ascii="Times New Roman"/>
          <w:color w:val="000000"/>
        </w:rPr>
      </w:pPr>
      <w:r>
        <w:rPr>
          <w:rFonts w:ascii="Times New Roman"/>
          <w:color w:val="000000"/>
        </w:rPr>
        <w:t>Wn：</w:t>
      </w:r>
      <w:r>
        <w:rPr>
          <w:rFonts w:ascii="Times New Roman"/>
          <w:color w:val="000000"/>
        </w:rPr>
        <w:tab/>
      </w:r>
      <w:r>
        <w:rPr>
          <w:rFonts w:ascii="Times New Roman"/>
          <w:color w:val="000000"/>
        </w:rPr>
        <w:t>投标人缺项漏项部分的价值量</w:t>
      </w:r>
    </w:p>
    <w:p w14:paraId="5DCEF2D3">
      <w:pPr>
        <w:pStyle w:val="4"/>
        <w:tabs>
          <w:tab w:val="left" w:pos="2160"/>
        </w:tabs>
        <w:snapToGrid w:val="0"/>
        <w:spacing w:line="300" w:lineRule="auto"/>
        <w:ind w:left="2713" w:leftChars="1006" w:hanging="600" w:hangingChars="250"/>
        <w:jc w:val="both"/>
        <w:rPr>
          <w:rFonts w:ascii="Times New Roman"/>
          <w:color w:val="000000"/>
        </w:rPr>
      </w:pPr>
      <w:r>
        <w:rPr>
          <w:rFonts w:ascii="Times New Roman"/>
          <w:color w:val="000000"/>
        </w:rPr>
        <w:t>（根据投标人所投同类货物的报价来确定；若投标人所投货物中无同类货物，则</w:t>
      </w:r>
      <w:r>
        <w:rPr>
          <w:rFonts w:hint="eastAsia" w:ascii="Times New Roman"/>
          <w:color w:val="000000"/>
        </w:rPr>
        <w:t>按</w:t>
      </w:r>
      <w:r>
        <w:rPr>
          <w:rFonts w:ascii="Times New Roman"/>
          <w:color w:val="000000"/>
        </w:rPr>
        <w:t>照其它投标人该项投标报价中的最高价来确定）</w:t>
      </w:r>
    </w:p>
    <w:p w14:paraId="3E88C925">
      <w:pPr>
        <w:pStyle w:val="4"/>
        <w:tabs>
          <w:tab w:val="left" w:pos="2160"/>
        </w:tabs>
        <w:snapToGrid w:val="0"/>
        <w:spacing w:line="300" w:lineRule="auto"/>
        <w:ind w:firstLine="2220" w:firstLineChars="925"/>
        <w:jc w:val="both"/>
        <w:rPr>
          <w:color w:val="000000"/>
        </w:rPr>
      </w:pPr>
      <w:r>
        <w:rPr>
          <w:rFonts w:ascii="Times New Roman"/>
          <w:color w:val="000000"/>
        </w:rPr>
        <w:t>Cn：</w:t>
      </w:r>
      <w:r>
        <w:rPr>
          <w:rFonts w:ascii="Times New Roman"/>
          <w:color w:val="000000"/>
        </w:rPr>
        <w:tab/>
      </w:r>
      <w:r>
        <w:rPr>
          <w:rFonts w:ascii="Times New Roman"/>
          <w:color w:val="000000"/>
        </w:rPr>
        <w:t>投标人</w:t>
      </w:r>
      <w:r>
        <w:rPr>
          <w:rFonts w:hint="eastAsia" w:ascii="Times New Roman"/>
          <w:color w:val="000000"/>
        </w:rPr>
        <w:t>评估</w:t>
      </w:r>
      <w:r>
        <w:rPr>
          <w:rFonts w:ascii="Times New Roman"/>
          <w:color w:val="000000"/>
        </w:rPr>
        <w:t>价</w:t>
      </w:r>
    </w:p>
    <w:p w14:paraId="68D93F67">
      <w:pPr>
        <w:pStyle w:val="10"/>
        <w:numPr>
          <w:ilvl w:val="0"/>
          <w:numId w:val="13"/>
        </w:numPr>
        <w:spacing w:before="156" w:after="156"/>
        <w:ind w:firstLineChars="0"/>
        <w:rPr>
          <w:color w:val="000000"/>
        </w:rPr>
      </w:pPr>
      <w:r>
        <w:rPr>
          <w:rFonts w:hint="eastAsia"/>
          <w:color w:val="000000"/>
        </w:rPr>
        <w:t>定标：</w:t>
      </w:r>
    </w:p>
    <w:p w14:paraId="33126615">
      <w:pPr>
        <w:pStyle w:val="10"/>
        <w:spacing w:before="156" w:after="156"/>
        <w:ind w:firstLine="480"/>
        <w:rPr>
          <w:color w:val="000000"/>
        </w:rPr>
      </w:pPr>
      <w:r>
        <w:rPr>
          <w:rFonts w:hint="eastAsia"/>
          <w:color w:val="000000"/>
        </w:rPr>
        <w:t>评标工作组根据各投标方的商品报价、质量、性能、交货周期、售后服务承诺、公司资质及社会信誉等因素，按照评标办法进行综合评价，按照评分标准给出分数，以得分多少排定评标顺序，得分高的排名靠前，最终排在第一位的投标人为中标方。</w:t>
      </w:r>
    </w:p>
    <w:p w14:paraId="6BFCDE48">
      <w:pPr>
        <w:pStyle w:val="10"/>
        <w:spacing w:before="156" w:after="156"/>
        <w:ind w:firstLine="480"/>
        <w:rPr>
          <w:color w:val="000000"/>
        </w:rPr>
      </w:pPr>
    </w:p>
    <w:p w14:paraId="5818216E">
      <w:pPr>
        <w:pStyle w:val="13"/>
        <w:ind w:firstLine="0" w:firstLineChars="0"/>
        <w:rPr>
          <w:color w:val="000000"/>
        </w:rPr>
      </w:pPr>
      <w:r>
        <w:rPr>
          <w:color w:val="000000"/>
        </w:rPr>
        <w:br w:type="page"/>
      </w:r>
      <w:r>
        <w:rPr>
          <w:rFonts w:hint="eastAsia"/>
          <w:color w:val="000000"/>
        </w:rPr>
        <w:t>第四部分  合同授予及付款方式</w:t>
      </w:r>
    </w:p>
    <w:p w14:paraId="1694880D">
      <w:pPr>
        <w:pStyle w:val="10"/>
        <w:numPr>
          <w:ilvl w:val="0"/>
          <w:numId w:val="16"/>
        </w:numPr>
        <w:spacing w:before="156" w:after="156"/>
        <w:ind w:firstLineChars="0"/>
        <w:rPr>
          <w:color w:val="000000"/>
        </w:rPr>
      </w:pPr>
      <w:r>
        <w:rPr>
          <w:rFonts w:hint="eastAsia"/>
          <w:color w:val="000000"/>
        </w:rPr>
        <w:t>中标通知书：</w:t>
      </w:r>
    </w:p>
    <w:p w14:paraId="02709949">
      <w:pPr>
        <w:pStyle w:val="10"/>
        <w:spacing w:before="156" w:after="156"/>
        <w:ind w:firstLine="480"/>
        <w:rPr>
          <w:color w:val="000000"/>
        </w:rPr>
      </w:pPr>
      <w:r>
        <w:rPr>
          <w:rFonts w:hint="eastAsia"/>
          <w:color w:val="000000"/>
        </w:rPr>
        <w:t>评标结束后，由招标方签发《中标通知书》。</w:t>
      </w:r>
    </w:p>
    <w:p w14:paraId="0C1DC1E2">
      <w:pPr>
        <w:pStyle w:val="10"/>
        <w:numPr>
          <w:ilvl w:val="0"/>
          <w:numId w:val="16"/>
        </w:numPr>
        <w:spacing w:before="156" w:after="156"/>
        <w:ind w:firstLineChars="0"/>
        <w:rPr>
          <w:color w:val="000000"/>
        </w:rPr>
      </w:pPr>
      <w:r>
        <w:rPr>
          <w:rFonts w:hint="eastAsia"/>
          <w:color w:val="000000"/>
        </w:rPr>
        <w:t>签订合同：</w:t>
      </w:r>
    </w:p>
    <w:p w14:paraId="4106BD1E">
      <w:pPr>
        <w:pStyle w:val="14"/>
        <w:numPr>
          <w:ilvl w:val="0"/>
          <w:numId w:val="17"/>
        </w:numPr>
        <w:spacing w:before="156" w:after="156"/>
        <w:ind w:firstLineChars="0"/>
        <w:rPr>
          <w:color w:val="000000"/>
        </w:rPr>
      </w:pPr>
      <w:r>
        <w:rPr>
          <w:rFonts w:hint="eastAsia"/>
          <w:color w:val="000000"/>
        </w:rPr>
        <w:t>中标方在接到《中标通知书》并缴纳相应的履约保证金后，招标方与中标方签订合同。</w:t>
      </w:r>
    </w:p>
    <w:p w14:paraId="197B7214">
      <w:pPr>
        <w:pStyle w:val="14"/>
        <w:numPr>
          <w:ilvl w:val="0"/>
          <w:numId w:val="17"/>
        </w:numPr>
        <w:spacing w:before="156" w:after="156"/>
        <w:ind w:firstLineChars="0"/>
        <w:rPr>
          <w:color w:val="000000"/>
        </w:rPr>
      </w:pPr>
      <w:r>
        <w:rPr>
          <w:rFonts w:hint="eastAsia"/>
          <w:color w:val="000000"/>
        </w:rPr>
        <w:t>中标方自行终止合同，或不能圆满（无原因）履行合同、或投标时弄虚作假而实际上所投物资达不到招标方要求，招标方有权取消其供货资格，并没收履约保证金。</w:t>
      </w:r>
    </w:p>
    <w:p w14:paraId="4F671007">
      <w:pPr>
        <w:pStyle w:val="13"/>
        <w:ind w:firstLine="0" w:firstLineChars="0"/>
        <w:jc w:val="both"/>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titlePg/>
          <w:docGrid w:type="lines" w:linePitch="312" w:charSpace="0"/>
        </w:sectPr>
      </w:pPr>
    </w:p>
    <w:tbl>
      <w:tblPr>
        <w:tblStyle w:val="8"/>
        <w:tblW w:w="14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082"/>
        <w:gridCol w:w="881"/>
        <w:gridCol w:w="1509"/>
        <w:gridCol w:w="4983"/>
        <w:gridCol w:w="5106"/>
        <w:gridCol w:w="789"/>
      </w:tblGrid>
      <w:tr w14:paraId="2A61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490CF">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37FAB">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D519F">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c>
          <w:tcPr>
            <w:tcW w:w="4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1E274">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评分细则</w:t>
            </w:r>
          </w:p>
        </w:tc>
        <w:tc>
          <w:tcPr>
            <w:tcW w:w="5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84AC8">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功能要求</w:t>
            </w:r>
          </w:p>
        </w:tc>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897CC">
            <w:pPr>
              <w:keepNext w:val="0"/>
              <w:keepLines w:val="0"/>
              <w:widowControl/>
              <w:suppressLineNumbers w:val="0"/>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14:paraId="42CA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1500CCD5">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技术部分</w:t>
            </w: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6D1B83">
            <w:pPr>
              <w:snapToGrid w:val="0"/>
              <w:jc w:val="center"/>
              <w:rPr>
                <w:rFonts w:hint="eastAsia" w:ascii="宋体" w:hAnsi="宋体" w:eastAsia="宋体" w:cs="宋体"/>
                <w:i w:val="0"/>
                <w:iCs w:val="0"/>
                <w:color w:val="000000"/>
                <w:sz w:val="21"/>
                <w:szCs w:val="21"/>
                <w:u w:val="none"/>
              </w:rPr>
            </w:pP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2C4FC187">
            <w:pPr>
              <w:snapToGrid w:val="0"/>
              <w:jc w:val="left"/>
              <w:rPr>
                <w:rFonts w:hint="eastAsia" w:ascii="宋体" w:hAnsi="宋体" w:eastAsia="宋体" w:cs="宋体"/>
                <w:i w:val="0"/>
                <w:iCs w:val="0"/>
                <w:color w:val="000000"/>
                <w:sz w:val="21"/>
                <w:szCs w:val="21"/>
                <w:u w:val="none"/>
              </w:rPr>
            </w:pPr>
          </w:p>
        </w:tc>
        <w:tc>
          <w:tcPr>
            <w:tcW w:w="10089" w:type="dxa"/>
            <w:gridSpan w:val="2"/>
            <w:vMerge w:val="restart"/>
            <w:tcBorders>
              <w:top w:val="nil"/>
              <w:left w:val="single" w:color="000000" w:sz="8" w:space="0"/>
              <w:right w:val="single" w:color="000000" w:sz="8" w:space="0"/>
            </w:tcBorders>
            <w:shd w:val="clear" w:color="auto" w:fill="auto"/>
            <w:vAlign w:val="center"/>
          </w:tcPr>
          <w:p w14:paraId="5BF9F06D">
            <w:pPr>
              <w:snapToGrid w:val="0"/>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本项目功能模块需一体化设计开发，不得分包转包，如有发现分包转包</w:t>
            </w:r>
            <w:r>
              <w:rPr>
                <w:rFonts w:hint="eastAsia" w:ascii="宋体" w:hAnsi="宋体" w:cs="宋体"/>
                <w:i w:val="0"/>
                <w:iCs w:val="0"/>
                <w:color w:val="FF0000"/>
                <w:kern w:val="0"/>
                <w:sz w:val="21"/>
                <w:szCs w:val="21"/>
                <w:u w:val="none"/>
                <w:lang w:val="en-US" w:eastAsia="zh-CN" w:bidi="ar"/>
              </w:rPr>
              <w:t>厂商</w:t>
            </w:r>
            <w:r>
              <w:rPr>
                <w:rFonts w:hint="eastAsia" w:ascii="宋体" w:hAnsi="宋体" w:eastAsia="宋体" w:cs="宋体"/>
                <w:i w:val="0"/>
                <w:iCs w:val="0"/>
                <w:color w:val="FF0000"/>
                <w:kern w:val="0"/>
                <w:sz w:val="21"/>
                <w:szCs w:val="21"/>
                <w:u w:val="none"/>
                <w:lang w:val="en-US" w:eastAsia="zh-CN" w:bidi="ar"/>
              </w:rPr>
              <w:t>即刻终止招投标，如已经签订合同立即终止合同并按照违约</w:t>
            </w:r>
            <w:r>
              <w:rPr>
                <w:rFonts w:hint="eastAsia" w:ascii="宋体" w:hAnsi="宋体" w:cs="宋体"/>
                <w:i w:val="0"/>
                <w:iCs w:val="0"/>
                <w:color w:val="FF0000"/>
                <w:kern w:val="0"/>
                <w:sz w:val="21"/>
                <w:szCs w:val="21"/>
                <w:u w:val="none"/>
                <w:lang w:val="en-US" w:eastAsia="zh-CN" w:bidi="ar"/>
              </w:rPr>
              <w:t>和对有关客户的影响</w:t>
            </w:r>
            <w:r>
              <w:rPr>
                <w:rFonts w:hint="eastAsia" w:ascii="宋体" w:hAnsi="宋体" w:eastAsia="宋体" w:cs="宋体"/>
                <w:i w:val="0"/>
                <w:iCs w:val="0"/>
                <w:color w:val="FF0000"/>
                <w:kern w:val="0"/>
                <w:sz w:val="21"/>
                <w:szCs w:val="21"/>
                <w:u w:val="none"/>
                <w:lang w:val="en-US" w:eastAsia="zh-CN" w:bidi="ar"/>
              </w:rPr>
              <w:t>索赔。</w:t>
            </w: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F64A84">
            <w:pPr>
              <w:snapToGrid w:val="0"/>
              <w:jc w:val="right"/>
              <w:rPr>
                <w:rFonts w:hint="eastAsia" w:ascii="宋体" w:hAnsi="宋体" w:eastAsia="宋体" w:cs="宋体"/>
                <w:i w:val="0"/>
                <w:iCs w:val="0"/>
                <w:color w:val="000000"/>
                <w:sz w:val="21"/>
                <w:szCs w:val="21"/>
                <w:u w:val="none"/>
              </w:rPr>
            </w:pPr>
          </w:p>
        </w:tc>
      </w:tr>
      <w:tr w14:paraId="7593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70A48EE">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（60分）</w:t>
            </w: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81FD95">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40E887F2">
            <w:pPr>
              <w:snapToGrid w:val="0"/>
              <w:jc w:val="left"/>
              <w:rPr>
                <w:rFonts w:hint="eastAsia" w:ascii="宋体" w:hAnsi="宋体" w:eastAsia="宋体" w:cs="宋体"/>
                <w:i w:val="0"/>
                <w:iCs w:val="0"/>
                <w:color w:val="000000"/>
                <w:sz w:val="21"/>
                <w:szCs w:val="21"/>
                <w:u w:val="none"/>
              </w:rPr>
            </w:pPr>
          </w:p>
        </w:tc>
        <w:tc>
          <w:tcPr>
            <w:tcW w:w="10089" w:type="dxa"/>
            <w:gridSpan w:val="2"/>
            <w:vMerge w:val="continue"/>
            <w:tcBorders>
              <w:left w:val="single" w:color="000000" w:sz="8" w:space="0"/>
              <w:bottom w:val="single" w:color="000000" w:sz="8" w:space="0"/>
              <w:right w:val="single" w:color="000000" w:sz="8" w:space="0"/>
            </w:tcBorders>
            <w:shd w:val="clear" w:color="auto" w:fill="auto"/>
            <w:vAlign w:val="center"/>
          </w:tcPr>
          <w:p w14:paraId="757546CA">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6C11FA">
            <w:pPr>
              <w:snapToGrid w:val="0"/>
              <w:jc w:val="right"/>
              <w:rPr>
                <w:rFonts w:hint="eastAsia" w:ascii="宋体" w:hAnsi="宋体" w:eastAsia="宋体" w:cs="宋体"/>
                <w:i w:val="0"/>
                <w:iCs w:val="0"/>
                <w:color w:val="000000"/>
                <w:sz w:val="21"/>
                <w:szCs w:val="21"/>
                <w:u w:val="none"/>
              </w:rPr>
            </w:pPr>
          </w:p>
        </w:tc>
      </w:tr>
      <w:tr w14:paraId="242E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542196EB">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59B9E2">
            <w:pPr>
              <w:snapToGrid w:val="0"/>
              <w:jc w:val="center"/>
              <w:rPr>
                <w:rFonts w:hint="eastAsia" w:ascii="宋体" w:hAnsi="宋体" w:eastAsia="宋体" w:cs="宋体"/>
                <w:i w:val="0"/>
                <w:iCs w:val="0"/>
                <w:color w:val="000000"/>
                <w:sz w:val="21"/>
                <w:szCs w:val="21"/>
                <w:u w:val="none"/>
              </w:rPr>
            </w:pP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636C8420">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体检管理系统</w:t>
            </w:r>
          </w:p>
        </w:tc>
        <w:tc>
          <w:tcPr>
            <w:tcW w:w="4983" w:type="dxa"/>
            <w:tcBorders>
              <w:top w:val="nil"/>
              <w:left w:val="single" w:color="000000" w:sz="8" w:space="0"/>
              <w:bottom w:val="nil"/>
              <w:right w:val="single" w:color="000000" w:sz="8" w:space="0"/>
            </w:tcBorders>
            <w:shd w:val="clear" w:color="auto" w:fill="auto"/>
            <w:vAlign w:val="center"/>
          </w:tcPr>
          <w:p w14:paraId="45603AF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单位提供本项目的体检管理系统的建设方案，包含：①系统管理、②基础维护、③企业管理、④体检登记、⑤财务收费、⑥科室检查、⑦检后管理、⑧主检判断、⑨报告管理、⑩查询统计，方案完整、符合本项目实际需求的，每项得2分，未提供不得分；每项内容里有一处内容不合理或错误的得1分，出现二处及以上的此项不得分。最高分20分。</w:t>
            </w:r>
          </w:p>
        </w:tc>
        <w:tc>
          <w:tcPr>
            <w:tcW w:w="5106" w:type="dxa"/>
            <w:vMerge w:val="restart"/>
            <w:tcBorders>
              <w:top w:val="nil"/>
              <w:left w:val="nil"/>
              <w:bottom w:val="single" w:color="000000" w:sz="8" w:space="0"/>
              <w:right w:val="single" w:color="000000" w:sz="8" w:space="0"/>
            </w:tcBorders>
            <w:shd w:val="clear" w:color="auto" w:fill="auto"/>
            <w:vAlign w:val="center"/>
          </w:tcPr>
          <w:p w14:paraId="3C86B281">
            <w:r>
              <w:rPr>
                <w:rFonts w:hint="eastAsia" w:ascii="宋体" w:hAnsi="宋体" w:eastAsia="宋体" w:cs="宋体"/>
                <w:i w:val="0"/>
                <w:iCs w:val="0"/>
                <w:color w:val="000000"/>
                <w:kern w:val="0"/>
                <w:sz w:val="21"/>
                <w:szCs w:val="21"/>
                <w:u w:val="none"/>
                <w:lang w:val="en-US" w:eastAsia="zh-CN" w:bidi="ar"/>
              </w:rPr>
              <w:t>功能中一票否决项目，请在序号后加✱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检前内容：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1)可实现智能导检（掌上智能导检）、叫号系统（人性化、智能化、科学合理性兼顾，有专门的VIP处理通道）。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体检开始前，问卷问诊内容（包括职业健康体检相关疾病问诊内容）前置作为体检开始前的必填项。相关疾病（心脑血管、慢病等）风险评估功能，根据客户填写内容智能推荐项目，可线上自助结算付款等，可自助下载电子发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3)体检项目（必选+自选、纯自选项目）、名单分类，可智能化导入体检系统。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4)✱体检项目明细、费用要与门诊或医保办实时同步。（接口内容无法演示，作为接口要求）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所有体检类型相关的诊断名称、建议等相关词条库要丰富、完善，软件公司提前维护好，上线后可满足体检工作的需求。（2分）新增人员、新增项目内容、新增工作人员权限等功能简便易操作。不要设置软件有效试用期。配备专职工程师专门处理我院出现的问题，工程师要与体检中心的工作时间同步，随时可处理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根据职务开放查看权限，最高权限以集团视角，查看、汇总、统计、分析集团下属各家体检中心的相关数据，也可单独进行某一体检中心的上述操作。具有相应的财务管理模块、慢病管理模块、客户管理模块等（尤其科室辅助管理相关功能模块越多越全越好）。体检客户信息在集团所有体检中心具有唯一性，在某一体检中心已登记或体检，其他体检中心系统可知晓判断。（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符合国家法律法规要求的体检电子表格：普通入职体检表、公共卫生体检、社区体检、公务员体检表、职业健康体检表、放射工作人员职业健康体检表等各类表格（尤其是公务员、职业健康、放射人员体检等这类表格、结论、建议、复查要求等一定要实符合法律法规格式的要求），需要有电子签和电子章。（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8)软件所有操作环节都可以设置批量操作，有关界面内容可自选所需内容（例如登记界面），重要信息前置可优先查看。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9)有会员开卡功能，且简便易操作。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10)外出健康、职业体检，能否实现局域网体检信息链接，支持外出体检，可实现局域网或离线模式运行。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11)✱支持内置职业健康监护规范（GBZ188）、放射工作人员健康要求及监护规范（GBZ98）标准，集成现行有效标准（体检必检项、选检项、重点检查提醒、相关职业禁忌证、相关疑似职业病）。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12)✱针对职业病体检特殊性，系统能根据监护技术规范的要求，及时调整对上岗前、在岗期间、离岗和应急等体检项目内容新增、删减和修改，以保证所使用系统第一时间符合国家法规和政策要求。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13)✱在套餐制作环节，支持根据职业健康监护规范（GBZ188）、放射工作人员健康要求及监护规范（GBZ98）的要求，在设定好套餐在岗状态和危害因素后，自动生成体检项目组合，提示必检、选检项目目录。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检中内容：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每位体检客户在集团所有体检中心具有唯一身份且可延续（要考虑到替检、涉密单位客户的情况如何登记）。已登记客户信息、项目内容修改后可实时更新，项目内容可智能识别性别，异性项目不可录入，登记环节简洁易操作（主要是指多个人使用同一种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2)在登记环节，支持人脸核验设备验证持证人是否为证件本人，有效防止“代检”行为。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3)在登记环节，如受检者历次体检存在职业疑似职业病、职业禁忌证的异常情况，体检登记环节自动提醒。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4)在登记环节，支持职业转岗体检，根据原岗位危害因素及新岗位危害因素自动生成转岗信息及检项信息。满足一次体检完成多岗位体检，出具多份报告要求。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5)在采样环节，支持采集管数、采集管颜色、采集状态的提醒。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各体检环节有提示功能，检查结果有明显阳性结果可即使提示其他相关科室，尤其是彩超和CT可提醒检查医生进一步确认，是否要修改结果，避免误诊漏诊（例如肺部CT检查时可观察到部分腹部脏器的情况，避免出现CT与腹部彩超结果有出入）。支持受检者历史异常结果主动提醒，支持调阅受检者历史体检记录，横向展示受检者各科室检项结果的变化趋势，调阅受检者历史主检、历史问诊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重大阳性异常、危急值一定要根据体检行业的标准（A类、B类）及时通知到体检客户本人（系统是否可实现例如短信通知跟踪复查等提醒，且可查询）。可否与临床指定的医务人员对接，参与到阳性结果客户的管理，通知临床医生做好接诊和随访的工作，且随访记录可查询和导出备查。（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系统需要支持多体检类型（健康证体检、普通健康体检、公务员体检、职业健康体检等）混合体检功能，结合实际情况支持一次登记多个体检类型套餐，仅需一次登记、一次体检，体检结束后按不同体检要求进行分类主检并出具不同报告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9)有延期管理功能，延期检查人员支持设定检查延期日期，系统自动归类延期人员进入延期管理流程。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10)有复检管理功能，支持复检人员复检进度跟踪预警功能，提供医生查询超期未复检人员并联系。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每个功能检查科室有投诉选项，可具体到当日的检查医生，可进行月度统计。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11)VIP客户优先总检提示功能，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12)抽血项目尽可能合管，减少客户的抽血量。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13)✱电测听检查环节，支持对接电测听仪器设备或工作站，采集测听结果至体检系统。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14)在职业问诊环节，支持按监护技术规范要求完善职业健康监护档案，内容包括：档案基本信息、工龄、职业/放射职业史、家族史、烟酒史、月经史、既往病史、职业病史、婚姻史等。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在职业主检环节，支持根据监护规范标准智能分析受检者危害因素相关检项异常情况，智能生成危害因素对应的处理结论，支持主检医生一键快速认可自动生成主检结论及处理建议。支持根据主检医生资质对主检人群过滤，超资质范围判定支持智能提醒，支持协同主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16)✱总检环节有客户既往疾病、阳性结果和既往相关疾病的提醒。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17)体检结束后有满意度调查表，可分为各个单位单独分析统计、年度整体客户群体总统分析统计等，包括投诉内容，明确排名靠前的不满意问题或投诉最多的科室和个人。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18)当日体检客户未完成项目有提示，并可设置延迟体检，延迟体检的项目完成后有提示，并可传输到体检报告中。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19)✱职业健康体检可自动生成企业职业健康体检总结报告书，报告书中相关的数据、表格、体检者项目明细数据内容要完整，且根据我院要求对其自定义条件检索内容。（2分）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检后内容：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缺项未完成、具体未完成项目名称有提示，拒检和弃检项目有提示，相关所有提示均要方便提高总检医生总检和审核的效率。拒检、弃检项目可分单位和年度整体统计，要具体到某单位、某客户、某项目、项目价格等详细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2)在检后随访环节，支持系统在科室检查、医技系统对接抓取、总检判断的数据，根据系统内置规则自动标记重大异常指标数据，分为A类及B类分级，列入待随访任务列表，并进行警报。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)✱体检报告内容要有当年的体检项目内容，相同的体检项目历年体检结果有对比（至少2年），并提供相关的复查就诊、合理膳食、干预方案等合理建议，个人体检客户、单位团体客户可形成健康档案。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团检分析可对一级目录单位、子目录单位职工体检情况进行单独和合并分析统计。只统计分析有临床意义的项目，并形成相应的图表，肿瘤指标的阳性结果、重大阳性异常结果、危急值等相关信息前置（包括项目名称、具体结果、参考值等），对应的客户名字是否体现可勾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)不同体检类型的团检分析报告内容，可勾选企业与个人的查看权限和内容，尤其是隐私项目（梅毒、艾滋、两对半等）团检分析等企业需要的内容要进行屏蔽。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)✱支持选定人群范围后系统自动生成符合规范的职业健康检查总结报告，放射工作人员健康检查总结报告，无需人工汇总数据。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)✱职业健康体检数据与省平台对接，并能实时上传相关数据。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)✱健康检、职业检的报告、团检分析、总结报告书等相关内容可迁移，迁移后可查看，尤其职业检可存档30年。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可自定义统计报表内容进行统计分析，尤其是政府、行业要求的统计数据，数据要有出处，信息要详细，对应的表格和统计内容要实时更新（例如健康体检的七大核心指标的数据统计、妇计中心月度、季度、年度相关数据的统计），数据口径要清晰可查。（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)财务统计模块一定要详细，例如替检人员的还原、自费项目的剔除、弃检项目费用剔除等，可根据不同性别、婚姻状况、项目完成情况、1+X模式等进行费用统计，统计内容要详细。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rPr>
              <w:t>根据院方工作中的变化，实时开发、调整检前、检中及检后的内容，以满足院方工作开展的需求。</w:t>
            </w:r>
          </w:p>
          <w:p w14:paraId="3D423746">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75CF9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57B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6712CC57">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482DE7">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7F65F0F0">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nil"/>
              <w:right w:val="single" w:color="000000" w:sz="8" w:space="0"/>
            </w:tcBorders>
            <w:shd w:val="clear" w:color="auto" w:fill="auto"/>
            <w:vAlign w:val="center"/>
          </w:tcPr>
          <w:p w14:paraId="046E2F2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注：以上内容“不合理”、“错误”是指：存在不适用项目实际情况、套用其他无关内容、内容不完整、与本项目履约无关、逻辑存在漏洞以及不满足采购文件要求的其他情况。</w:t>
            </w:r>
          </w:p>
        </w:tc>
        <w:tc>
          <w:tcPr>
            <w:tcW w:w="5106" w:type="dxa"/>
            <w:vMerge w:val="continue"/>
            <w:tcBorders>
              <w:top w:val="nil"/>
              <w:left w:val="nil"/>
              <w:bottom w:val="single" w:color="000000" w:sz="8" w:space="0"/>
              <w:right w:val="single" w:color="000000" w:sz="8" w:space="0"/>
            </w:tcBorders>
            <w:shd w:val="clear" w:color="auto" w:fill="auto"/>
            <w:vAlign w:val="center"/>
          </w:tcPr>
          <w:p w14:paraId="12CFA04B">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78ADE7">
            <w:pPr>
              <w:snapToGrid w:val="0"/>
              <w:jc w:val="right"/>
              <w:rPr>
                <w:rFonts w:hint="eastAsia" w:ascii="宋体" w:hAnsi="宋体" w:eastAsia="宋体" w:cs="宋体"/>
                <w:i w:val="0"/>
                <w:iCs w:val="0"/>
                <w:color w:val="000000"/>
                <w:sz w:val="21"/>
                <w:szCs w:val="21"/>
                <w:u w:val="none"/>
              </w:rPr>
            </w:pPr>
          </w:p>
        </w:tc>
      </w:tr>
      <w:tr w14:paraId="4DC9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3DC9A313">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84DE5D">
            <w:pPr>
              <w:snapToGrid w:val="0"/>
              <w:jc w:val="center"/>
              <w:rPr>
                <w:rFonts w:hint="eastAsia" w:ascii="宋体" w:hAnsi="宋体" w:eastAsia="宋体" w:cs="宋体"/>
                <w:i w:val="0"/>
                <w:iCs w:val="0"/>
                <w:color w:val="000000"/>
                <w:sz w:val="21"/>
                <w:szCs w:val="21"/>
                <w:u w:val="none"/>
              </w:rPr>
            </w:pP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3D9AB281">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体检微信端系统软件</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1A6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单位提供本项目的体检微信端系统软件的建设方案，包含：①首页、②个人中心、③体检预约、④体检问卷、⑤体检收费、⑥检中服务、⑦体检报告，方案完整、符合本项目实际需求的，每项得2分，未提供不得分；每项内容里有一处内容不合理或错误的得1分，出现二处及以上的此项不得分。最高分14分。</w:t>
            </w:r>
          </w:p>
        </w:tc>
        <w:tc>
          <w:tcPr>
            <w:tcW w:w="5106" w:type="dxa"/>
            <w:vMerge w:val="continue"/>
            <w:tcBorders>
              <w:top w:val="nil"/>
              <w:left w:val="nil"/>
              <w:bottom w:val="single" w:color="000000" w:sz="8" w:space="0"/>
              <w:right w:val="single" w:color="000000" w:sz="8" w:space="0"/>
            </w:tcBorders>
            <w:shd w:val="clear" w:color="auto" w:fill="auto"/>
            <w:vAlign w:val="center"/>
          </w:tcPr>
          <w:p w14:paraId="19E871BC">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24ED2C">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2843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62770A5A">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FDF81C">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20157100">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4DDDF35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注：以上内容“不合理”、“错误”是指：存在不适用项目实际情况、套用其他无关内容、内容不完整、与本项目履约无关、逻辑存在漏洞以及不满足采购文件要求的其他情况。</w:t>
            </w:r>
          </w:p>
        </w:tc>
        <w:tc>
          <w:tcPr>
            <w:tcW w:w="5106" w:type="dxa"/>
            <w:vMerge w:val="continue"/>
            <w:tcBorders>
              <w:top w:val="nil"/>
              <w:left w:val="nil"/>
              <w:bottom w:val="single" w:color="000000" w:sz="8" w:space="0"/>
              <w:right w:val="single" w:color="000000" w:sz="8" w:space="0"/>
            </w:tcBorders>
            <w:shd w:val="clear" w:color="auto" w:fill="auto"/>
            <w:vAlign w:val="center"/>
          </w:tcPr>
          <w:p w14:paraId="31CFA767">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36DE67">
            <w:pPr>
              <w:snapToGrid w:val="0"/>
              <w:jc w:val="right"/>
              <w:rPr>
                <w:rFonts w:hint="eastAsia" w:ascii="宋体" w:hAnsi="宋体" w:eastAsia="宋体" w:cs="宋体"/>
                <w:i w:val="0"/>
                <w:iCs w:val="0"/>
                <w:color w:val="000000"/>
                <w:sz w:val="21"/>
                <w:szCs w:val="21"/>
                <w:u w:val="none"/>
              </w:rPr>
            </w:pPr>
          </w:p>
        </w:tc>
      </w:tr>
      <w:tr w14:paraId="2C1F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4B347F35">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5C130E9B">
            <w:pPr>
              <w:snapToGrid w:val="0"/>
              <w:jc w:val="center"/>
              <w:rPr>
                <w:rFonts w:hint="eastAsia" w:ascii="宋体" w:hAnsi="宋体" w:eastAsia="宋体" w:cs="宋体"/>
                <w:i w:val="0"/>
                <w:iCs w:val="0"/>
                <w:color w:val="000000"/>
                <w:sz w:val="21"/>
                <w:szCs w:val="21"/>
                <w:u w:val="none"/>
              </w:rPr>
            </w:pP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7802B3E7">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全流程智能导检系统软件</w:t>
            </w:r>
          </w:p>
        </w:tc>
        <w:tc>
          <w:tcPr>
            <w:tcW w:w="4983" w:type="dxa"/>
            <w:tcBorders>
              <w:top w:val="nil"/>
              <w:left w:val="single" w:color="000000" w:sz="8" w:space="0"/>
              <w:bottom w:val="nil"/>
              <w:right w:val="single" w:color="000000" w:sz="8" w:space="0"/>
            </w:tcBorders>
            <w:shd w:val="clear" w:color="auto" w:fill="auto"/>
            <w:vAlign w:val="center"/>
          </w:tcPr>
          <w:p w14:paraId="48EAA8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单位提供本项目的全流程智能导检系统软件的建设方案，包含：①智能导检系统、②基础维护、③导检管理端、④医生操作端、⑤壁挂式一体机软件、⑥微信端，方案完整、符合本项目实际需求的，每项得1分，未提供不得分；每项内容里有一处内容不合理或错误的得0.5分，出现二处及以上的此项不得分。最高分6分。</w:t>
            </w:r>
          </w:p>
        </w:tc>
        <w:tc>
          <w:tcPr>
            <w:tcW w:w="5106" w:type="dxa"/>
            <w:vMerge w:val="continue"/>
            <w:tcBorders>
              <w:top w:val="nil"/>
              <w:left w:val="nil"/>
              <w:bottom w:val="single" w:color="000000" w:sz="8" w:space="0"/>
              <w:right w:val="single" w:color="000000" w:sz="8" w:space="0"/>
            </w:tcBorders>
            <w:shd w:val="clear" w:color="auto" w:fill="auto"/>
            <w:vAlign w:val="center"/>
          </w:tcPr>
          <w:p w14:paraId="62A41D9A">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91067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659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5126AF02">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C18C4A">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3F388C3D">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7AD9C8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注：以上内容“不合理”、“错误”是指：存在不适用项目实际情况、套用其他无关内容、内容不完整、与本项目履约无关、逻辑存在漏洞以及不满足采购文件要求的其他情况。</w:t>
            </w:r>
          </w:p>
        </w:tc>
        <w:tc>
          <w:tcPr>
            <w:tcW w:w="5106" w:type="dxa"/>
            <w:vMerge w:val="continue"/>
            <w:tcBorders>
              <w:top w:val="nil"/>
              <w:left w:val="nil"/>
              <w:bottom w:val="single" w:color="000000" w:sz="8" w:space="0"/>
              <w:right w:val="single" w:color="000000" w:sz="8" w:space="0"/>
            </w:tcBorders>
            <w:shd w:val="clear" w:color="auto" w:fill="auto"/>
            <w:vAlign w:val="center"/>
          </w:tcPr>
          <w:p w14:paraId="22B03628">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874AC9">
            <w:pPr>
              <w:snapToGrid w:val="0"/>
              <w:jc w:val="right"/>
              <w:rPr>
                <w:rFonts w:hint="eastAsia" w:ascii="宋体" w:hAnsi="宋体" w:eastAsia="宋体" w:cs="宋体"/>
                <w:i w:val="0"/>
                <w:iCs w:val="0"/>
                <w:color w:val="000000"/>
                <w:sz w:val="21"/>
                <w:szCs w:val="21"/>
                <w:u w:val="none"/>
              </w:rPr>
            </w:pPr>
          </w:p>
        </w:tc>
      </w:tr>
      <w:tr w14:paraId="2A9C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45DB390E">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1C110330">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36FABE0C">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企业服务端管理系统</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641C4372">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Style w:val="15"/>
                <w:rFonts w:ascii="宋体" w:eastAsia="宋体"/>
                <w:sz w:val="21"/>
                <w:lang w:val="en-US" w:eastAsia="zh-CN" w:bidi="ar"/>
              </w:rPr>
              <w:t>响应单位提供本项目的企业服务端管理系统的建设方案，包含：①个人端、②企业端、③企业团检报告分析、④企业职业体检报告分析，方案完整、符合本项目实际需求的，每项得</w:t>
            </w:r>
            <w:r>
              <w:rPr>
                <w:rStyle w:val="16"/>
                <w:rFonts w:ascii="宋体" w:eastAsia="宋体"/>
                <w:sz w:val="21"/>
                <w:lang w:val="en-US" w:eastAsia="zh-CN" w:bidi="ar"/>
              </w:rPr>
              <w:t>2</w:t>
            </w:r>
            <w:r>
              <w:rPr>
                <w:rStyle w:val="15"/>
                <w:rFonts w:ascii="宋体" w:eastAsia="宋体"/>
                <w:sz w:val="21"/>
                <w:lang w:val="en-US" w:eastAsia="zh-CN" w:bidi="ar"/>
              </w:rPr>
              <w:t>分，未提供不得分；每项内容里有一处内容不合理或错误的得</w:t>
            </w:r>
            <w:r>
              <w:rPr>
                <w:rStyle w:val="16"/>
                <w:rFonts w:ascii="宋体" w:eastAsia="宋体"/>
                <w:sz w:val="21"/>
                <w:lang w:val="en-US" w:eastAsia="zh-CN" w:bidi="ar"/>
              </w:rPr>
              <w:t>1</w:t>
            </w:r>
            <w:r>
              <w:rPr>
                <w:rStyle w:val="15"/>
                <w:rFonts w:ascii="宋体" w:eastAsia="宋体"/>
                <w:sz w:val="21"/>
                <w:lang w:val="en-US" w:eastAsia="zh-CN" w:bidi="ar"/>
              </w:rPr>
              <w:t>分，出现二处及以上的此项不得分。最高分</w:t>
            </w:r>
            <w:r>
              <w:rPr>
                <w:rStyle w:val="16"/>
                <w:rFonts w:ascii="宋体" w:eastAsia="宋体"/>
                <w:sz w:val="21"/>
                <w:lang w:val="en-US" w:eastAsia="zh-CN" w:bidi="ar"/>
              </w:rPr>
              <w:t>4</w:t>
            </w:r>
            <w:r>
              <w:rPr>
                <w:rStyle w:val="15"/>
                <w:rFonts w:ascii="宋体" w:eastAsia="宋体"/>
                <w:sz w:val="21"/>
                <w:lang w:val="en-US" w:eastAsia="zh-CN" w:bidi="ar"/>
              </w:rPr>
              <w:t>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1F9FEFC">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ACDADA6">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05B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66C42110">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3CD7F9E">
            <w:pPr>
              <w:snapToGrid w:val="0"/>
              <w:jc w:val="center"/>
              <w:rPr>
                <w:rFonts w:hint="eastAsia" w:ascii="宋体" w:hAnsi="宋体" w:eastAsia="宋体" w:cs="宋体"/>
                <w:i w:val="0"/>
                <w:iCs w:val="0"/>
                <w:color w:val="000000"/>
                <w:sz w:val="21"/>
                <w:szCs w:val="21"/>
                <w:u w:val="none"/>
              </w:rPr>
            </w:pP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68AC618C">
            <w:pPr>
              <w:keepNext w:val="0"/>
              <w:keepLines w:val="0"/>
              <w:widowControl/>
              <w:suppressLineNumbers w:val="0"/>
              <w:snapToGrid w:val="0"/>
              <w:ind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智能主检</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7B9B0432">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Style w:val="15"/>
                <w:rFonts w:ascii="宋体" w:eastAsia="宋体"/>
                <w:sz w:val="21"/>
                <w:lang w:val="en-US" w:eastAsia="zh-CN" w:bidi="ar"/>
              </w:rPr>
              <w:t>响应单位提供本项目的智能主检的建设方案，方案完整、符合本项目实际需求的，每项得</w:t>
            </w:r>
            <w:r>
              <w:rPr>
                <w:rStyle w:val="16"/>
                <w:rFonts w:ascii="宋体" w:eastAsia="宋体"/>
                <w:sz w:val="21"/>
                <w:lang w:val="en-US" w:eastAsia="zh-CN" w:bidi="ar"/>
              </w:rPr>
              <w:t>2</w:t>
            </w:r>
            <w:r>
              <w:rPr>
                <w:rStyle w:val="15"/>
                <w:rFonts w:ascii="宋体" w:eastAsia="宋体"/>
                <w:sz w:val="21"/>
                <w:lang w:val="en-US" w:eastAsia="zh-CN" w:bidi="ar"/>
              </w:rPr>
              <w:t>分，未提供不得分；每项内容里有一处内容不合理或错误的得</w:t>
            </w:r>
            <w:r>
              <w:rPr>
                <w:rStyle w:val="16"/>
                <w:rFonts w:ascii="宋体" w:eastAsia="宋体"/>
                <w:sz w:val="21"/>
                <w:lang w:val="en-US" w:eastAsia="zh-CN" w:bidi="ar"/>
              </w:rPr>
              <w:t>1</w:t>
            </w:r>
            <w:r>
              <w:rPr>
                <w:rStyle w:val="15"/>
                <w:rFonts w:ascii="宋体" w:eastAsia="宋体"/>
                <w:sz w:val="21"/>
                <w:lang w:val="en-US" w:eastAsia="zh-CN" w:bidi="ar"/>
              </w:rPr>
              <w:t>分，出现二处及以上的此项不得分。最高分</w:t>
            </w:r>
            <w:r>
              <w:rPr>
                <w:rStyle w:val="16"/>
                <w:rFonts w:ascii="宋体" w:eastAsia="宋体"/>
                <w:sz w:val="21"/>
                <w:lang w:val="en-US" w:eastAsia="zh-CN" w:bidi="ar"/>
              </w:rPr>
              <w:t>2</w:t>
            </w:r>
            <w:r>
              <w:rPr>
                <w:rStyle w:val="15"/>
                <w:rFonts w:ascii="宋体" w:eastAsia="宋体"/>
                <w:sz w:val="21"/>
                <w:lang w:val="en-US" w:eastAsia="zh-CN" w:bidi="ar"/>
              </w:rPr>
              <w:t>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625F4049">
            <w:pPr>
              <w:keepNext w:val="0"/>
              <w:keepLines w:val="0"/>
              <w:widowControl/>
              <w:suppressLineNumbers w:val="0"/>
              <w:snapToGrid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智能总检。需要包括AI智能质控，能够对科室检查的结果汇总进行错别字、标点等进行纠正，识别各科室间同一器官矛盾描述，专项性别检查内容矛盾问题识别（如B超、CT描述中男性出现女性相关器官描述等）。实现智能总检，根据受检者疾病或异常指标对生命健康的危害程度及系统进行排序，区分AB类重大异常，同时区分主要健康问题、次要健康问题、异常阳性指标和健康风险。根据临床诊断是“一元论”原则，按照疾病系统合理归类，按照急、重、缓、轻进行自动排序。</w:t>
            </w: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37EAE1A">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36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1B850E07">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2DD7A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4EB13234">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9017D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Style w:val="17"/>
                <w:rFonts w:ascii="宋体" w:eastAsia="宋体"/>
                <w:sz w:val="21"/>
                <w:lang w:val="en-US" w:eastAsia="zh-CN" w:bidi="ar"/>
              </w:rPr>
              <w:t>根据供应商提供项目实施管理方案，方案包括但不限于：</w:t>
            </w:r>
            <w:r>
              <w:rPr>
                <w:rStyle w:val="15"/>
                <w:rFonts w:ascii="宋体" w:eastAsia="宋体"/>
                <w:sz w:val="21"/>
                <w:lang w:val="en-US" w:eastAsia="zh-CN" w:bidi="ar"/>
              </w:rPr>
              <w:t>①</w:t>
            </w:r>
            <w:r>
              <w:rPr>
                <w:rStyle w:val="17"/>
                <w:rFonts w:ascii="宋体" w:eastAsia="宋体"/>
                <w:sz w:val="21"/>
                <w:lang w:val="en-US" w:eastAsia="zh-CN" w:bidi="ar"/>
              </w:rPr>
              <w:t>项目的实施进度周期、</w:t>
            </w:r>
            <w:r>
              <w:rPr>
                <w:rStyle w:val="15"/>
                <w:rFonts w:ascii="宋体" w:eastAsia="宋体"/>
                <w:sz w:val="21"/>
                <w:lang w:val="en-US" w:eastAsia="zh-CN" w:bidi="ar"/>
              </w:rPr>
              <w:t>②</w:t>
            </w:r>
            <w:r>
              <w:rPr>
                <w:rStyle w:val="17"/>
                <w:rFonts w:ascii="宋体" w:eastAsia="宋体"/>
                <w:sz w:val="21"/>
                <w:lang w:val="en-US" w:eastAsia="zh-CN" w:bidi="ar"/>
              </w:rPr>
              <w:t>安装调试方案、③质量保证措施、④培训方案，方案完整、符合本项目实际需求的，每项得1分，未提供不得分；每项内容里有一处内容不合理或错误的得0.5分，出现二处及以上的此项不得分。最高分4分。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2B7830E7">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6F9C4F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CBC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5382ABC9">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69CBBF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1885244C">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售后服务方案</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438CA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供应商提供售后服务方案，方案包括但不限于：①售后服务体系、②人员服务计划，方案完整、符合本项目实际需求的，每项得2分，未提供不得分；每项内容里有一处内容不合理或错误的得1分，出现二处及以上的此项不得分。最高分4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7209D281">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8BD6698">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6F7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320E0844">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327635E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229E2F57">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技术对接方案</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203613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供应商提供的技术对接职业病上传省平台的方案，方案包括①对接原理、②技术架构、③数据传输流程，方案完整、符合本项目实际需求的，每项得2分，未提供不得分；每项内容里有一处内容不合理或错误的得1分，出现二处及以上的此项不得分。最高分6分。</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4EE145D3">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0A41EACF">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CCF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2264455F">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5299A4">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6D126A2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综合实力</w:t>
            </w:r>
          </w:p>
        </w:tc>
        <w:tc>
          <w:tcPr>
            <w:tcW w:w="4983" w:type="dxa"/>
            <w:tcBorders>
              <w:top w:val="nil"/>
              <w:left w:val="single" w:color="000000" w:sz="8" w:space="0"/>
              <w:bottom w:val="nil"/>
              <w:right w:val="single" w:color="000000" w:sz="8" w:space="0"/>
            </w:tcBorders>
            <w:shd w:val="clear" w:color="auto" w:fill="auto"/>
            <w:vAlign w:val="center"/>
          </w:tcPr>
          <w:p w14:paraId="76D36B6B">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1、投标供应商具备有效期内信息安全管理体系认证证书、，每具备一个得1分，最多得2分。（提供证书原件扫描件上传至投标文件中，无扫描件不得分。）</w:t>
            </w:r>
          </w:p>
        </w:tc>
        <w:tc>
          <w:tcPr>
            <w:tcW w:w="5106" w:type="dxa"/>
            <w:tcBorders>
              <w:top w:val="nil"/>
              <w:left w:val="nil"/>
              <w:bottom w:val="nil"/>
              <w:right w:val="single" w:color="000000" w:sz="8" w:space="0"/>
            </w:tcBorders>
            <w:shd w:val="clear" w:color="auto" w:fill="auto"/>
            <w:vAlign w:val="center"/>
          </w:tcPr>
          <w:p w14:paraId="6AE3716F">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AEF9A1">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760B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2BFB68AA">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（20分）</w:t>
            </w: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C544B0">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2B26F480">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nil"/>
              <w:right w:val="single" w:color="000000" w:sz="8" w:space="0"/>
            </w:tcBorders>
            <w:shd w:val="clear" w:color="auto" w:fill="auto"/>
            <w:vAlign w:val="center"/>
          </w:tcPr>
          <w:p w14:paraId="3226B282">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供应商提供本项目的相关产品的著作权，每提供1个著作权证书得1分，最多得3分，本项目相关功能模块不得分包转包，如有发现本项不得分。（提供证书原件扫描件上传至投标文件中，无扫描件不得分。）</w:t>
            </w:r>
          </w:p>
        </w:tc>
        <w:tc>
          <w:tcPr>
            <w:tcW w:w="5106" w:type="dxa"/>
            <w:tcBorders>
              <w:top w:val="nil"/>
              <w:left w:val="nil"/>
              <w:bottom w:val="nil"/>
              <w:right w:val="single" w:color="000000" w:sz="8" w:space="0"/>
            </w:tcBorders>
            <w:shd w:val="clear" w:color="auto" w:fill="auto"/>
            <w:vAlign w:val="center"/>
          </w:tcPr>
          <w:p w14:paraId="7CCD2312">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3146B1">
            <w:pPr>
              <w:snapToGrid w:val="0"/>
              <w:jc w:val="right"/>
              <w:rPr>
                <w:rFonts w:hint="eastAsia" w:ascii="宋体" w:hAnsi="宋体" w:eastAsia="宋体" w:cs="宋体"/>
                <w:i w:val="0"/>
                <w:iCs w:val="0"/>
                <w:color w:val="000000"/>
                <w:sz w:val="21"/>
                <w:szCs w:val="21"/>
                <w:u w:val="none"/>
              </w:rPr>
            </w:pPr>
          </w:p>
        </w:tc>
      </w:tr>
      <w:tr w14:paraId="6602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noWrap/>
            <w:vAlign w:val="center"/>
          </w:tcPr>
          <w:p w14:paraId="16DB6880">
            <w:pPr>
              <w:snapToGrid w:val="0"/>
              <w:jc w:val="center"/>
              <w:rPr>
                <w:rFonts w:hint="eastAsia" w:ascii="宋体" w:hAnsi="宋体" w:eastAsia="宋体" w:cs="宋体"/>
                <w:i w:val="0"/>
                <w:iCs w:val="0"/>
                <w:color w:val="000000"/>
                <w:sz w:val="21"/>
                <w:szCs w:val="22"/>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E4D574">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226947E8">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361E65F1">
            <w:pPr>
              <w:snapToGrid w:val="0"/>
              <w:jc w:val="left"/>
              <w:rPr>
                <w:rFonts w:hint="eastAsia" w:ascii="宋体" w:hAnsi="宋体" w:eastAsia="宋体" w:cs="宋体"/>
                <w:i w:val="0"/>
                <w:iCs w:val="0"/>
                <w:color w:val="000000"/>
                <w:sz w:val="21"/>
                <w:szCs w:val="21"/>
                <w:u w:val="none"/>
              </w:rPr>
            </w:pPr>
          </w:p>
        </w:tc>
        <w:tc>
          <w:tcPr>
            <w:tcW w:w="5106" w:type="dxa"/>
            <w:tcBorders>
              <w:top w:val="nil"/>
              <w:left w:val="nil"/>
              <w:bottom w:val="single" w:color="000000" w:sz="8" w:space="0"/>
              <w:right w:val="single" w:color="000000" w:sz="8" w:space="0"/>
            </w:tcBorders>
            <w:shd w:val="clear" w:color="auto" w:fill="auto"/>
            <w:vAlign w:val="center"/>
          </w:tcPr>
          <w:p w14:paraId="48D6F88E">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1DAA95">
            <w:pPr>
              <w:snapToGrid w:val="0"/>
              <w:jc w:val="right"/>
              <w:rPr>
                <w:rFonts w:hint="eastAsia" w:ascii="宋体" w:hAnsi="宋体" w:eastAsia="宋体" w:cs="宋体"/>
                <w:i w:val="0"/>
                <w:iCs w:val="0"/>
                <w:color w:val="000000"/>
                <w:sz w:val="21"/>
                <w:szCs w:val="21"/>
                <w:u w:val="none"/>
              </w:rPr>
            </w:pPr>
          </w:p>
        </w:tc>
      </w:tr>
      <w:tr w14:paraId="58A2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single" w:color="000000" w:sz="8" w:space="0"/>
              <w:right w:val="single" w:color="000000" w:sz="8" w:space="0"/>
            </w:tcBorders>
            <w:shd w:val="clear" w:color="auto" w:fill="auto"/>
            <w:vAlign w:val="center"/>
          </w:tcPr>
          <w:p w14:paraId="480E4340">
            <w:pPr>
              <w:snapToGrid w:val="0"/>
              <w:jc w:val="center"/>
              <w:rPr>
                <w:rFonts w:hint="eastAsia" w:ascii="宋体" w:hAnsi="宋体" w:eastAsia="宋体" w:cs="宋体"/>
                <w:i w:val="0"/>
                <w:iCs w:val="0"/>
                <w:color w:val="000000"/>
                <w:sz w:val="21"/>
                <w:szCs w:val="21"/>
                <w:u w:val="none"/>
              </w:rPr>
            </w:pPr>
          </w:p>
        </w:tc>
        <w:tc>
          <w:tcPr>
            <w:tcW w:w="881" w:type="dxa"/>
            <w:tcBorders>
              <w:top w:val="nil"/>
              <w:left w:val="single" w:color="000000" w:sz="8" w:space="0"/>
              <w:bottom w:val="single" w:color="000000" w:sz="8" w:space="0"/>
              <w:right w:val="single" w:color="000000" w:sz="8" w:space="0"/>
            </w:tcBorders>
            <w:shd w:val="clear" w:color="auto" w:fill="auto"/>
            <w:noWrap/>
            <w:vAlign w:val="center"/>
          </w:tcPr>
          <w:p w14:paraId="2605CB33">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09" w:type="dxa"/>
            <w:tcBorders>
              <w:top w:val="nil"/>
              <w:left w:val="single" w:color="000000" w:sz="8" w:space="0"/>
              <w:bottom w:val="single" w:color="000000" w:sz="8" w:space="0"/>
              <w:right w:val="single" w:color="000000" w:sz="8" w:space="0"/>
            </w:tcBorders>
            <w:shd w:val="clear" w:color="auto" w:fill="auto"/>
            <w:vAlign w:val="center"/>
          </w:tcPr>
          <w:p w14:paraId="7B57A1A9">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p>
        </w:tc>
        <w:tc>
          <w:tcPr>
            <w:tcW w:w="4983" w:type="dxa"/>
            <w:tcBorders>
              <w:top w:val="nil"/>
              <w:left w:val="single" w:color="000000" w:sz="8" w:space="0"/>
              <w:bottom w:val="single" w:color="000000" w:sz="8" w:space="0"/>
              <w:right w:val="single" w:color="000000" w:sz="8" w:space="0"/>
            </w:tcBorders>
            <w:shd w:val="clear" w:color="auto" w:fill="auto"/>
            <w:vAlign w:val="center"/>
          </w:tcPr>
          <w:p w14:paraId="16A112E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2022年1月1日以来（以合同签订时间为准），供应商具有类似项目业绩的，有一个得1分，最高得3分。（须提供合同扫描件）</w:t>
            </w:r>
          </w:p>
        </w:tc>
        <w:tc>
          <w:tcPr>
            <w:tcW w:w="5106" w:type="dxa"/>
            <w:tcBorders>
              <w:top w:val="nil"/>
              <w:left w:val="single" w:color="000000" w:sz="8" w:space="0"/>
              <w:bottom w:val="single" w:color="000000" w:sz="8" w:space="0"/>
              <w:right w:val="single" w:color="000000" w:sz="8" w:space="0"/>
            </w:tcBorders>
            <w:shd w:val="clear" w:color="auto" w:fill="auto"/>
            <w:vAlign w:val="center"/>
          </w:tcPr>
          <w:p w14:paraId="795B0269">
            <w:pPr>
              <w:snapToGrid w:val="0"/>
              <w:jc w:val="left"/>
              <w:rPr>
                <w:rFonts w:hint="eastAsia" w:ascii="宋体" w:hAnsi="宋体" w:eastAsia="宋体" w:cs="宋体"/>
                <w:i w:val="0"/>
                <w:iCs w:val="0"/>
                <w:color w:val="000000"/>
                <w:sz w:val="21"/>
                <w:szCs w:val="21"/>
                <w:u w:val="none"/>
              </w:rPr>
            </w:pPr>
          </w:p>
        </w:tc>
        <w:tc>
          <w:tcPr>
            <w:tcW w:w="789" w:type="dxa"/>
            <w:tcBorders>
              <w:top w:val="nil"/>
              <w:left w:val="single" w:color="000000" w:sz="8" w:space="0"/>
              <w:bottom w:val="single" w:color="000000" w:sz="8" w:space="0"/>
              <w:right w:val="single" w:color="000000" w:sz="8" w:space="0"/>
            </w:tcBorders>
            <w:shd w:val="clear" w:color="auto" w:fill="auto"/>
            <w:noWrap/>
            <w:vAlign w:val="center"/>
          </w:tcPr>
          <w:p w14:paraId="5D569E32">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E21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3AD3B95D">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1B5AE3">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09" w:type="dxa"/>
            <w:vMerge w:val="restart"/>
            <w:tcBorders>
              <w:top w:val="nil"/>
              <w:left w:val="single" w:color="000000" w:sz="8" w:space="0"/>
              <w:bottom w:val="single" w:color="000000" w:sz="8" w:space="0"/>
              <w:right w:val="single" w:color="000000" w:sz="8" w:space="0"/>
            </w:tcBorders>
            <w:shd w:val="clear" w:color="auto" w:fill="auto"/>
            <w:vAlign w:val="center"/>
          </w:tcPr>
          <w:p w14:paraId="1BF89D3F">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4983" w:type="dxa"/>
            <w:tcBorders>
              <w:top w:val="nil"/>
              <w:left w:val="single" w:color="000000" w:sz="8" w:space="0"/>
              <w:bottom w:val="nil"/>
              <w:right w:val="single" w:color="000000" w:sz="8" w:space="0"/>
            </w:tcBorders>
            <w:shd w:val="clear" w:color="auto" w:fill="auto"/>
            <w:vAlign w:val="center"/>
          </w:tcPr>
          <w:p w14:paraId="6B258EC8">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供应商为本项目配备的项目组成员：</w:t>
            </w:r>
          </w:p>
        </w:tc>
        <w:tc>
          <w:tcPr>
            <w:tcW w:w="5106" w:type="dxa"/>
            <w:vMerge w:val="restart"/>
            <w:tcBorders>
              <w:top w:val="nil"/>
              <w:left w:val="nil"/>
              <w:right w:val="single" w:color="000000" w:sz="8" w:space="0"/>
            </w:tcBorders>
            <w:shd w:val="clear" w:color="auto" w:fill="auto"/>
            <w:vAlign w:val="center"/>
          </w:tcPr>
          <w:p w14:paraId="3AE93FA8">
            <w:pPr>
              <w:snapToGrid w:val="0"/>
              <w:jc w:val="left"/>
              <w:rPr>
                <w:rFonts w:hint="eastAsia" w:ascii="宋体" w:hAnsi="宋体" w:eastAsia="宋体" w:cs="宋体"/>
                <w:i w:val="0"/>
                <w:iCs w:val="0"/>
                <w:color w:val="000000"/>
                <w:sz w:val="21"/>
                <w:szCs w:val="21"/>
                <w:u w:val="none"/>
              </w:rPr>
            </w:pPr>
          </w:p>
        </w:tc>
        <w:tc>
          <w:tcPr>
            <w:tcW w:w="789"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FC57AE">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5F5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7F496CD4">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8432E3">
            <w:pPr>
              <w:snapToGrid w:val="0"/>
              <w:jc w:val="center"/>
              <w:rPr>
                <w:rFonts w:hint="eastAsia" w:ascii="宋体" w:hAnsi="宋体" w:eastAsia="宋体" w:cs="宋体"/>
                <w:i w:val="0"/>
                <w:iCs w:val="0"/>
                <w:color w:val="000000"/>
                <w:sz w:val="21"/>
                <w:szCs w:val="21"/>
                <w:u w:val="none"/>
              </w:rPr>
            </w:pPr>
          </w:p>
        </w:tc>
        <w:tc>
          <w:tcPr>
            <w:tcW w:w="1509" w:type="dxa"/>
            <w:vMerge w:val="continue"/>
            <w:tcBorders>
              <w:top w:val="nil"/>
              <w:left w:val="single" w:color="000000" w:sz="8" w:space="0"/>
              <w:bottom w:val="single" w:color="000000" w:sz="8" w:space="0"/>
              <w:right w:val="single" w:color="000000" w:sz="8" w:space="0"/>
            </w:tcBorders>
            <w:shd w:val="clear" w:color="auto" w:fill="auto"/>
            <w:vAlign w:val="center"/>
          </w:tcPr>
          <w:p w14:paraId="5CE2F39C">
            <w:pPr>
              <w:snapToGrid w:val="0"/>
              <w:jc w:val="left"/>
              <w:rPr>
                <w:rFonts w:hint="eastAsia" w:ascii="宋体" w:hAnsi="宋体" w:eastAsia="宋体" w:cs="宋体"/>
                <w:i w:val="0"/>
                <w:iCs w:val="0"/>
                <w:color w:val="000000"/>
                <w:sz w:val="21"/>
                <w:szCs w:val="21"/>
                <w:u w:val="none"/>
              </w:rPr>
            </w:pPr>
          </w:p>
        </w:tc>
        <w:tc>
          <w:tcPr>
            <w:tcW w:w="4983" w:type="dxa"/>
            <w:tcBorders>
              <w:top w:val="nil"/>
              <w:left w:val="single" w:color="000000" w:sz="8" w:space="0"/>
              <w:right w:val="single" w:color="000000" w:sz="8" w:space="0"/>
            </w:tcBorders>
            <w:shd w:val="clear" w:color="auto" w:fill="auto"/>
            <w:vAlign w:val="center"/>
          </w:tcPr>
          <w:p w14:paraId="39EC75F5">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【须提供人员名单、</w:t>
            </w:r>
            <w:r>
              <w:rPr>
                <w:rFonts w:hint="eastAsia" w:ascii="宋体" w:hAnsi="宋体" w:cs="宋体"/>
                <w:i w:val="0"/>
                <w:iCs w:val="0"/>
                <w:color w:val="000000"/>
                <w:kern w:val="0"/>
                <w:sz w:val="21"/>
                <w:szCs w:val="21"/>
                <w:u w:val="none"/>
                <w:lang w:val="en-US" w:eastAsia="zh-CN" w:bidi="ar"/>
              </w:rPr>
              <w:t>身份证</w:t>
            </w:r>
            <w:r>
              <w:rPr>
                <w:rFonts w:hint="eastAsia" w:ascii="宋体" w:hAnsi="宋体" w:eastAsia="宋体" w:cs="宋体"/>
                <w:i w:val="0"/>
                <w:iCs w:val="0"/>
                <w:color w:val="000000"/>
                <w:kern w:val="0"/>
                <w:sz w:val="21"/>
                <w:szCs w:val="21"/>
                <w:u w:val="none"/>
                <w:lang w:val="en-US" w:eastAsia="zh-CN" w:bidi="ar"/>
              </w:rPr>
              <w:t>扫描件，且须提供本单位连续3个月（且至少包含近3个月中任意1个月份&lt;不含磋商当月&gt;）为其缴纳社保的证明扫描件】</w:t>
            </w:r>
          </w:p>
        </w:tc>
        <w:tc>
          <w:tcPr>
            <w:tcW w:w="5106" w:type="dxa"/>
            <w:vMerge w:val="continue"/>
            <w:tcBorders>
              <w:left w:val="nil"/>
              <w:right w:val="single" w:color="000000" w:sz="8" w:space="0"/>
            </w:tcBorders>
            <w:shd w:val="clear" w:color="auto" w:fill="auto"/>
            <w:vAlign w:val="center"/>
          </w:tcPr>
          <w:p w14:paraId="3223AF78">
            <w:pPr>
              <w:snapToGrid w:val="0"/>
              <w:jc w:val="left"/>
              <w:rPr>
                <w:rFonts w:hint="eastAsia" w:ascii="宋体" w:hAnsi="宋体" w:eastAsia="宋体" w:cs="宋体"/>
                <w:i w:val="0"/>
                <w:iCs w:val="0"/>
                <w:color w:val="000000"/>
                <w:sz w:val="21"/>
                <w:szCs w:val="21"/>
                <w:u w:val="none"/>
              </w:rPr>
            </w:pPr>
          </w:p>
        </w:tc>
        <w:tc>
          <w:tcPr>
            <w:tcW w:w="78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562315">
            <w:pPr>
              <w:snapToGrid w:val="0"/>
              <w:jc w:val="right"/>
              <w:rPr>
                <w:rFonts w:hint="eastAsia" w:ascii="宋体" w:hAnsi="宋体" w:eastAsia="宋体" w:cs="宋体"/>
                <w:i w:val="0"/>
                <w:iCs w:val="0"/>
                <w:color w:val="000000"/>
                <w:sz w:val="21"/>
                <w:szCs w:val="21"/>
                <w:u w:val="none"/>
              </w:rPr>
            </w:pPr>
          </w:p>
        </w:tc>
      </w:tr>
      <w:tr w14:paraId="536C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tcBorders>
              <w:top w:val="nil"/>
              <w:left w:val="single" w:color="000000" w:sz="8" w:space="0"/>
              <w:bottom w:val="nil"/>
              <w:right w:val="single" w:color="000000" w:sz="8" w:space="0"/>
            </w:tcBorders>
            <w:shd w:val="clear" w:color="auto" w:fill="auto"/>
            <w:vAlign w:val="center"/>
          </w:tcPr>
          <w:p w14:paraId="061BEEC0">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系统演示</w:t>
            </w:r>
          </w:p>
        </w:tc>
        <w:tc>
          <w:tcPr>
            <w:tcW w:w="881" w:type="dxa"/>
            <w:tcBorders>
              <w:top w:val="nil"/>
              <w:left w:val="single" w:color="000000" w:sz="8" w:space="0"/>
              <w:bottom w:val="nil"/>
              <w:right w:val="nil"/>
            </w:tcBorders>
            <w:shd w:val="clear" w:color="auto" w:fill="auto"/>
            <w:vAlign w:val="center"/>
          </w:tcPr>
          <w:p w14:paraId="7D806DC5">
            <w:pPr>
              <w:snapToGrid w:val="0"/>
              <w:jc w:val="center"/>
              <w:rPr>
                <w:rFonts w:hint="eastAsia" w:ascii="宋体" w:hAnsi="宋体" w:eastAsia="宋体" w:cs="宋体"/>
                <w:i w:val="0"/>
                <w:iCs w:val="0"/>
                <w:color w:val="000000"/>
                <w:sz w:val="21"/>
                <w:szCs w:val="21"/>
                <w:u w:val="none"/>
              </w:rPr>
            </w:pPr>
          </w:p>
        </w:tc>
        <w:tc>
          <w:tcPr>
            <w:tcW w:w="11598" w:type="dxa"/>
            <w:gridSpan w:val="3"/>
            <w:tcBorders>
              <w:top w:val="nil"/>
              <w:left w:val="nil"/>
              <w:bottom w:val="single" w:color="auto" w:sz="4" w:space="0"/>
              <w:right w:val="nil"/>
            </w:tcBorders>
            <w:shd w:val="clear" w:color="auto" w:fill="auto"/>
            <w:vAlign w:val="center"/>
          </w:tcPr>
          <w:p w14:paraId="04F14C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供应商对本项目涉及的相关功能提供真实系统演示（需配讲解）</w:t>
            </w:r>
          </w:p>
        </w:tc>
        <w:tc>
          <w:tcPr>
            <w:tcW w:w="789" w:type="dxa"/>
            <w:tcBorders>
              <w:top w:val="nil"/>
              <w:left w:val="nil"/>
              <w:bottom w:val="nil"/>
              <w:right w:val="single" w:color="000000" w:sz="8" w:space="0"/>
            </w:tcBorders>
            <w:shd w:val="clear" w:color="auto" w:fill="auto"/>
            <w:vAlign w:val="center"/>
          </w:tcPr>
          <w:p w14:paraId="7D908AFD">
            <w:pPr>
              <w:snapToGrid w:val="0"/>
              <w:jc w:val="center"/>
              <w:rPr>
                <w:rFonts w:hint="eastAsia" w:ascii="宋体" w:hAnsi="宋体" w:eastAsia="宋体" w:cs="宋体"/>
                <w:i w:val="0"/>
                <w:iCs w:val="0"/>
                <w:color w:val="000000"/>
                <w:sz w:val="21"/>
                <w:szCs w:val="21"/>
                <w:u w:val="none"/>
              </w:rPr>
            </w:pPr>
          </w:p>
        </w:tc>
      </w:tr>
      <w:tr w14:paraId="5FD5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1AA07212">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auto" w:sz="4" w:space="0"/>
            </w:tcBorders>
            <w:shd w:val="clear" w:color="auto" w:fill="auto"/>
            <w:noWrap/>
            <w:vAlign w:val="center"/>
          </w:tcPr>
          <w:p w14:paraId="704CB1F5">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7ABD26">
            <w:pPr>
              <w:keepNext w:val="0"/>
              <w:keepLines w:val="0"/>
              <w:widowControl/>
              <w:suppressLineNumbers w:val="0"/>
              <w:snapToGrid w:val="0"/>
              <w:ind w:firstLine="0" w:firstLineChars="0"/>
              <w:jc w:val="left"/>
              <w:textAlignment w:val="center"/>
              <w:rPr>
                <w:rFonts w:hint="eastAsia" w:ascii="宋体" w:hAnsi="宋体" w:eastAsia="宋体" w:cs="宋体"/>
                <w:b/>
                <w:bCs/>
                <w:i w:val="0"/>
                <w:iCs w:val="0"/>
                <w:color w:val="000000"/>
                <w:sz w:val="21"/>
                <w:szCs w:val="24"/>
                <w:u w:val="none"/>
              </w:rPr>
            </w:pPr>
            <w:r>
              <w:rPr>
                <w:rFonts w:hint="eastAsia" w:ascii="宋体" w:hAnsi="宋体" w:eastAsia="宋体" w:cs="宋体"/>
                <w:b/>
                <w:bCs/>
                <w:i w:val="0"/>
                <w:iCs w:val="0"/>
                <w:color w:val="000000"/>
                <w:kern w:val="0"/>
                <w:sz w:val="21"/>
                <w:szCs w:val="24"/>
                <w:u w:val="none"/>
                <w:lang w:val="en-US" w:eastAsia="zh-CN" w:bidi="ar"/>
              </w:rPr>
              <w:t>智能质控（4分）</w:t>
            </w:r>
          </w:p>
        </w:tc>
        <w:tc>
          <w:tcPr>
            <w:tcW w:w="789"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309B6E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129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4377B14F">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73536E88">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581FA9">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系统应具备完善的质控能力，具体包括以下四方面内容，每项1分：</w:t>
            </w:r>
          </w:p>
        </w:tc>
        <w:tc>
          <w:tcPr>
            <w:tcW w:w="789"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4DF53155">
            <w:pPr>
              <w:snapToGrid w:val="0"/>
              <w:jc w:val="left"/>
              <w:rPr>
                <w:rFonts w:hint="eastAsia" w:ascii="宋体" w:hAnsi="宋体" w:eastAsia="宋体" w:cs="宋体"/>
                <w:i w:val="0"/>
                <w:iCs w:val="0"/>
                <w:color w:val="000000"/>
                <w:sz w:val="21"/>
                <w:szCs w:val="21"/>
                <w:u w:val="none"/>
              </w:rPr>
            </w:pPr>
          </w:p>
        </w:tc>
      </w:tr>
      <w:tr w14:paraId="4F9E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15334869">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227EC293">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D06449">
            <w:pPr>
              <w:keepNext w:val="0"/>
              <w:keepLines w:val="0"/>
              <w:widowControl/>
              <w:suppressLineNumbers w:val="0"/>
              <w:snapToGrid w:val="0"/>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1、系统能够对科室小结中的错别字、标点符号等文字类问题进行自动识别和修正，并能清晰展示修正前后的内容对比，确保语言表达规范；</w:t>
            </w:r>
          </w:p>
        </w:tc>
        <w:tc>
          <w:tcPr>
            <w:tcW w:w="789"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51A73C33">
            <w:pPr>
              <w:snapToGrid w:val="0"/>
              <w:jc w:val="left"/>
              <w:rPr>
                <w:rFonts w:hint="eastAsia" w:ascii="宋体" w:hAnsi="宋体" w:eastAsia="宋体" w:cs="宋体"/>
                <w:i w:val="0"/>
                <w:iCs w:val="0"/>
                <w:color w:val="000000"/>
                <w:sz w:val="21"/>
                <w:szCs w:val="21"/>
                <w:u w:val="none"/>
              </w:rPr>
            </w:pPr>
          </w:p>
        </w:tc>
      </w:tr>
      <w:tr w14:paraId="4953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1A5C6622">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A7355B">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000000" w:sz="8" w:space="0"/>
              <w:bottom w:val="single" w:color="auto" w:sz="4" w:space="0"/>
              <w:right w:val="single" w:color="000000" w:sz="8" w:space="0"/>
            </w:tcBorders>
            <w:shd w:val="clear" w:color="auto" w:fill="auto"/>
            <w:vAlign w:val="center"/>
          </w:tcPr>
          <w:p w14:paraId="290F41F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2、具备性别逻辑识别功能，能够判断性别相关描述是否合理，例如男性报告中不能出现女性器官描述，女性报告中不能出现男性器官描述，如有矛盾内容，系统应能提示</w:t>
            </w:r>
          </w:p>
        </w:tc>
        <w:tc>
          <w:tcPr>
            <w:tcW w:w="7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7F1B1">
            <w:pPr>
              <w:snapToGrid w:val="0"/>
              <w:jc w:val="left"/>
              <w:rPr>
                <w:rFonts w:hint="eastAsia" w:ascii="宋体" w:hAnsi="宋体" w:eastAsia="宋体" w:cs="宋体"/>
                <w:i w:val="0"/>
                <w:iCs w:val="0"/>
                <w:color w:val="000000"/>
                <w:sz w:val="21"/>
                <w:szCs w:val="21"/>
                <w:u w:val="none"/>
              </w:rPr>
            </w:pPr>
          </w:p>
        </w:tc>
      </w:tr>
      <w:tr w14:paraId="2BF4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1"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4657DAB1">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auto" w:sz="4" w:space="0"/>
            </w:tcBorders>
            <w:shd w:val="clear" w:color="auto" w:fill="auto"/>
            <w:noWrap/>
            <w:vAlign w:val="center"/>
          </w:tcPr>
          <w:p w14:paraId="60BF50B6">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7B3FAB">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4"/>
                <w:u w:val="none"/>
              </w:rPr>
            </w:pPr>
            <w:r>
              <w:rPr>
                <w:rStyle w:val="18"/>
                <w:rFonts w:ascii="宋体" w:eastAsia="宋体"/>
                <w:sz w:val="21"/>
                <w:lang w:val="en-US" w:eastAsia="zh-CN" w:bidi="ar"/>
              </w:rPr>
              <w:t>异常识别能力</w:t>
            </w:r>
            <w:r>
              <w:rPr>
                <w:rStyle w:val="19"/>
                <w:rFonts w:ascii="宋体" w:eastAsia="宋体"/>
                <w:sz w:val="21"/>
                <w:lang w:val="en-US" w:eastAsia="zh-CN" w:bidi="ar"/>
              </w:rPr>
              <w:t>（共4分）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05D888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26D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04A11B63">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72BFE57F">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CEB02A">
            <w:pPr>
              <w:keepNext w:val="0"/>
              <w:keepLines w:val="0"/>
              <w:widowControl/>
              <w:suppressLineNumbers w:val="0"/>
              <w:snapToGrid w:val="0"/>
              <w:jc w:val="left"/>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系统需具备较强的异常识别与分级能力，具体要求如下，每项1分：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6B31A54B">
            <w:pPr>
              <w:snapToGrid w:val="0"/>
              <w:jc w:val="left"/>
              <w:rPr>
                <w:rFonts w:hint="eastAsia" w:ascii="宋体" w:hAnsi="宋体" w:eastAsia="宋体" w:cs="宋体"/>
                <w:i w:val="0"/>
                <w:iCs w:val="0"/>
                <w:color w:val="000000"/>
                <w:sz w:val="21"/>
                <w:szCs w:val="21"/>
                <w:u w:val="none"/>
              </w:rPr>
            </w:pPr>
          </w:p>
        </w:tc>
      </w:tr>
      <w:tr w14:paraId="3C88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34C88D80">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19C28944">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34D7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1、能够自动识别各科室检查结果中的异常或疾病表现，并进行显著标注；</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3871ED52">
            <w:pPr>
              <w:snapToGrid w:val="0"/>
              <w:jc w:val="left"/>
              <w:rPr>
                <w:rFonts w:hint="eastAsia" w:ascii="宋体" w:hAnsi="宋体" w:eastAsia="宋体" w:cs="宋体"/>
                <w:i w:val="0"/>
                <w:iCs w:val="0"/>
                <w:color w:val="000000"/>
                <w:sz w:val="21"/>
                <w:szCs w:val="21"/>
                <w:u w:val="none"/>
              </w:rPr>
            </w:pPr>
          </w:p>
        </w:tc>
      </w:tr>
      <w:tr w14:paraId="020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4A2B3955">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3C944D94">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36264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2、能依据行业专家共识标准，对识别出的异常进行A类、B类分级标注，突出重点；</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1521897D">
            <w:pPr>
              <w:snapToGrid w:val="0"/>
              <w:jc w:val="left"/>
              <w:rPr>
                <w:rFonts w:hint="eastAsia" w:ascii="宋体" w:hAnsi="宋体" w:eastAsia="宋体" w:cs="宋体"/>
                <w:i w:val="0"/>
                <w:iCs w:val="0"/>
                <w:color w:val="000000"/>
                <w:sz w:val="21"/>
                <w:szCs w:val="21"/>
                <w:u w:val="none"/>
              </w:rPr>
            </w:pPr>
          </w:p>
        </w:tc>
      </w:tr>
      <w:tr w14:paraId="57CA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01A51A71">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7A72CE8F">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AB99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3、对已识别异常，系统应提供明确的判定依据，辅助主检医生进行专业判断；</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6FE39604">
            <w:pPr>
              <w:snapToGrid w:val="0"/>
              <w:jc w:val="left"/>
              <w:rPr>
                <w:rFonts w:hint="eastAsia" w:ascii="宋体" w:hAnsi="宋体" w:eastAsia="宋体" w:cs="宋体"/>
                <w:i w:val="0"/>
                <w:iCs w:val="0"/>
                <w:color w:val="000000"/>
                <w:sz w:val="21"/>
                <w:szCs w:val="21"/>
                <w:u w:val="none"/>
              </w:rPr>
            </w:pPr>
          </w:p>
        </w:tc>
      </w:tr>
      <w:tr w14:paraId="1F94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7E52C336">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517E03F5">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0119C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4、能够将识别出的异常，实时自动生成该异常的医学解释及常见原因；</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66EA3A8D">
            <w:pPr>
              <w:snapToGrid w:val="0"/>
              <w:jc w:val="left"/>
              <w:rPr>
                <w:rFonts w:hint="eastAsia" w:ascii="宋体" w:hAnsi="宋体" w:eastAsia="宋体" w:cs="宋体"/>
                <w:i w:val="0"/>
                <w:iCs w:val="0"/>
                <w:color w:val="000000"/>
                <w:sz w:val="21"/>
                <w:szCs w:val="21"/>
                <w:u w:val="none"/>
              </w:rPr>
            </w:pPr>
          </w:p>
        </w:tc>
      </w:tr>
      <w:tr w14:paraId="7653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22A88CE0">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auto" w:sz="4" w:space="0"/>
            </w:tcBorders>
            <w:shd w:val="clear" w:color="auto" w:fill="auto"/>
            <w:noWrap/>
            <w:vAlign w:val="center"/>
          </w:tcPr>
          <w:p w14:paraId="30E40DF9">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2C12A4">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4"/>
                <w:u w:val="none"/>
              </w:rPr>
            </w:pPr>
            <w:r>
              <w:rPr>
                <w:rStyle w:val="18"/>
                <w:rFonts w:ascii="宋体" w:eastAsia="宋体"/>
                <w:sz w:val="21"/>
                <w:lang w:val="en-US" w:eastAsia="zh-CN" w:bidi="ar"/>
              </w:rPr>
              <w:t>主检处理能力</w:t>
            </w:r>
            <w:r>
              <w:rPr>
                <w:rStyle w:val="19"/>
                <w:rFonts w:ascii="宋体" w:eastAsia="宋体"/>
                <w:sz w:val="21"/>
                <w:lang w:val="en-US" w:eastAsia="zh-CN" w:bidi="ar"/>
              </w:rPr>
              <w:t>（共2分）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569D1CA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C44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6216BA29">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589144B0">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91CF1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系统在处理异常结果、生成主检意见方面，应具备以下功能，每项1分：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3263C9A0">
            <w:pPr>
              <w:snapToGrid w:val="0"/>
              <w:jc w:val="left"/>
              <w:rPr>
                <w:rFonts w:hint="eastAsia" w:ascii="宋体" w:hAnsi="宋体" w:eastAsia="宋体" w:cs="宋体"/>
                <w:i w:val="0"/>
                <w:iCs w:val="0"/>
                <w:color w:val="000000"/>
                <w:sz w:val="21"/>
                <w:szCs w:val="21"/>
                <w:u w:val="none"/>
              </w:rPr>
            </w:pPr>
          </w:p>
        </w:tc>
      </w:tr>
      <w:tr w14:paraId="2261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0273618A">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3016896D">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C4A0B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1、能够基于临床“一元论”原则，对多个相似或相关异常进行智能合并，避免重复描述，并在报告中清晰标识合并内容；</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5A800C93">
            <w:pPr>
              <w:snapToGrid w:val="0"/>
              <w:jc w:val="left"/>
              <w:rPr>
                <w:rFonts w:hint="eastAsia" w:ascii="宋体" w:hAnsi="宋体" w:eastAsia="宋体" w:cs="宋体"/>
                <w:i w:val="0"/>
                <w:iCs w:val="0"/>
                <w:color w:val="000000"/>
                <w:sz w:val="21"/>
                <w:szCs w:val="21"/>
                <w:u w:val="none"/>
              </w:rPr>
            </w:pPr>
          </w:p>
        </w:tc>
      </w:tr>
      <w:tr w14:paraId="2B81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664B5A85">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48F4B6D4">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340F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2、能结合受检者的性别、年龄、病史等个体特征，自动生成针对性的处置建议及健康指导建议，体现个体化服务能力；</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25B23DBD">
            <w:pPr>
              <w:snapToGrid w:val="0"/>
              <w:jc w:val="left"/>
              <w:rPr>
                <w:rFonts w:hint="eastAsia" w:ascii="宋体" w:hAnsi="宋体" w:eastAsia="宋体" w:cs="宋体"/>
                <w:i w:val="0"/>
                <w:iCs w:val="0"/>
                <w:color w:val="000000"/>
                <w:sz w:val="21"/>
                <w:szCs w:val="21"/>
                <w:u w:val="none"/>
              </w:rPr>
            </w:pPr>
          </w:p>
        </w:tc>
      </w:tr>
      <w:tr w14:paraId="7026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restart"/>
            <w:tcBorders>
              <w:top w:val="nil"/>
              <w:left w:val="single" w:color="000000" w:sz="8" w:space="0"/>
              <w:bottom w:val="single" w:color="000000" w:sz="8" w:space="0"/>
              <w:right w:val="single" w:color="000000" w:sz="8" w:space="0"/>
            </w:tcBorders>
            <w:shd w:val="clear" w:color="auto" w:fill="auto"/>
            <w:vAlign w:val="center"/>
          </w:tcPr>
          <w:p w14:paraId="4C8881D3">
            <w:pPr>
              <w:snapToGrid w:val="0"/>
              <w:jc w:val="center"/>
              <w:rPr>
                <w:rFonts w:hint="eastAsia" w:ascii="宋体" w:hAnsi="宋体" w:eastAsia="宋体" w:cs="宋体"/>
                <w:i w:val="0"/>
                <w:iCs w:val="0"/>
                <w:color w:val="000000"/>
                <w:sz w:val="21"/>
                <w:szCs w:val="21"/>
                <w:u w:val="none"/>
              </w:rPr>
            </w:pPr>
          </w:p>
        </w:tc>
        <w:tc>
          <w:tcPr>
            <w:tcW w:w="881" w:type="dxa"/>
            <w:vMerge w:val="restart"/>
            <w:tcBorders>
              <w:top w:val="nil"/>
              <w:left w:val="single" w:color="000000" w:sz="8" w:space="0"/>
              <w:bottom w:val="single" w:color="000000" w:sz="8" w:space="0"/>
              <w:right w:val="single" w:color="auto" w:sz="4" w:space="0"/>
            </w:tcBorders>
            <w:shd w:val="clear" w:color="auto" w:fill="auto"/>
            <w:noWrap/>
            <w:vAlign w:val="center"/>
          </w:tcPr>
          <w:p w14:paraId="0B47E4C3">
            <w:pPr>
              <w:keepNext w:val="0"/>
              <w:keepLines w:val="0"/>
              <w:widowControl/>
              <w:suppressLineNumbers w:val="0"/>
              <w:snapToGrid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FA505">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4"/>
                <w:u w:val="none"/>
              </w:rPr>
            </w:pPr>
            <w:r>
              <w:rPr>
                <w:rStyle w:val="18"/>
                <w:rFonts w:ascii="宋体" w:eastAsia="宋体"/>
                <w:sz w:val="21"/>
                <w:lang w:val="en-US" w:eastAsia="zh-CN" w:bidi="ar"/>
              </w:rPr>
              <w:t>智能排序能力</w:t>
            </w:r>
            <w:r>
              <w:rPr>
                <w:rStyle w:val="19"/>
                <w:rFonts w:ascii="宋体" w:eastAsia="宋体"/>
                <w:sz w:val="21"/>
                <w:lang w:val="en-US" w:eastAsia="zh-CN" w:bidi="ar"/>
              </w:rPr>
              <w:t>（共2分）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5593CF5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6C4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208E20C0">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0B27F462">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C9E5D0">
            <w:pPr>
              <w:keepNext w:val="0"/>
              <w:keepLines w:val="0"/>
              <w:widowControl/>
              <w:suppressLineNumbers w:val="0"/>
              <w:snapToGrid w:val="0"/>
              <w:jc w:val="left"/>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系统应具备对异常问题进行自动分类与排序的能力，以辅助医生聚焦重点问题。具体包括，每项1分：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1F000A37">
            <w:pPr>
              <w:snapToGrid w:val="0"/>
              <w:jc w:val="left"/>
              <w:rPr>
                <w:rFonts w:hint="eastAsia" w:ascii="宋体" w:hAnsi="宋体" w:eastAsia="宋体" w:cs="宋体"/>
                <w:i w:val="0"/>
                <w:iCs w:val="0"/>
                <w:color w:val="000000"/>
                <w:sz w:val="21"/>
                <w:szCs w:val="21"/>
                <w:u w:val="none"/>
              </w:rPr>
            </w:pPr>
          </w:p>
        </w:tc>
      </w:tr>
      <w:tr w14:paraId="5C20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38B4B965">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7816C1B8">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8C2898">
            <w:pPr>
              <w:keepNext w:val="0"/>
              <w:keepLines w:val="0"/>
              <w:widowControl/>
              <w:suppressLineNumbers w:val="0"/>
              <w:snapToGrid w:val="0"/>
              <w:jc w:val="left"/>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1、能按照“急、重、缓、轻”的优先级原则，对识别出的异常或疾病进行智能排序；</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1B4C67D8">
            <w:pPr>
              <w:snapToGrid w:val="0"/>
              <w:jc w:val="left"/>
              <w:rPr>
                <w:rFonts w:hint="eastAsia" w:ascii="宋体" w:hAnsi="宋体" w:eastAsia="宋体" w:cs="宋体"/>
                <w:i w:val="0"/>
                <w:iCs w:val="0"/>
                <w:color w:val="000000"/>
                <w:sz w:val="21"/>
                <w:szCs w:val="21"/>
                <w:u w:val="none"/>
              </w:rPr>
            </w:pPr>
          </w:p>
        </w:tc>
      </w:tr>
      <w:tr w14:paraId="5CD0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2" w:type="dxa"/>
            <w:vMerge w:val="continue"/>
            <w:tcBorders>
              <w:top w:val="nil"/>
              <w:left w:val="single" w:color="000000" w:sz="8" w:space="0"/>
              <w:bottom w:val="single" w:color="000000" w:sz="8" w:space="0"/>
              <w:right w:val="single" w:color="000000" w:sz="8" w:space="0"/>
            </w:tcBorders>
            <w:shd w:val="clear" w:color="auto" w:fill="auto"/>
            <w:vAlign w:val="center"/>
          </w:tcPr>
          <w:p w14:paraId="5D330A16">
            <w:pPr>
              <w:snapToGrid w:val="0"/>
              <w:jc w:val="center"/>
              <w:rPr>
                <w:rFonts w:hint="eastAsia" w:ascii="宋体" w:hAnsi="宋体" w:eastAsia="宋体" w:cs="宋体"/>
                <w:i w:val="0"/>
                <w:iCs w:val="0"/>
                <w:color w:val="000000"/>
                <w:sz w:val="21"/>
                <w:szCs w:val="21"/>
                <w:u w:val="none"/>
              </w:rPr>
            </w:pPr>
          </w:p>
        </w:tc>
        <w:tc>
          <w:tcPr>
            <w:tcW w:w="881" w:type="dxa"/>
            <w:vMerge w:val="continue"/>
            <w:tcBorders>
              <w:top w:val="nil"/>
              <w:left w:val="single" w:color="000000" w:sz="8" w:space="0"/>
              <w:bottom w:val="single" w:color="000000" w:sz="8" w:space="0"/>
              <w:right w:val="single" w:color="auto" w:sz="4" w:space="0"/>
            </w:tcBorders>
            <w:shd w:val="clear" w:color="auto" w:fill="auto"/>
            <w:noWrap/>
            <w:vAlign w:val="center"/>
          </w:tcPr>
          <w:p w14:paraId="26DD578F">
            <w:pPr>
              <w:snapToGrid w:val="0"/>
              <w:jc w:val="center"/>
              <w:rPr>
                <w:rFonts w:hint="eastAsia" w:ascii="宋体" w:hAnsi="宋体" w:eastAsia="宋体" w:cs="宋体"/>
                <w:i w:val="0"/>
                <w:iCs w:val="0"/>
                <w:color w:val="000000"/>
                <w:sz w:val="21"/>
                <w:szCs w:val="21"/>
                <w:u w:val="none"/>
              </w:rPr>
            </w:pPr>
          </w:p>
        </w:tc>
        <w:tc>
          <w:tcPr>
            <w:tcW w:w="11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BB7B57">
            <w:pPr>
              <w:keepNext w:val="0"/>
              <w:keepLines w:val="0"/>
              <w:widowControl/>
              <w:suppressLineNumbers w:val="0"/>
              <w:snapToGrid w:val="0"/>
              <w:jc w:val="left"/>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2、能根据健康影响程度，将异常归类为“主要健康问题”“一般健康问题”以及“其他异常”，实现分层管理；</w:t>
            </w:r>
          </w:p>
        </w:tc>
        <w:tc>
          <w:tcPr>
            <w:tcW w:w="789" w:type="dxa"/>
            <w:tcBorders>
              <w:top w:val="nil"/>
              <w:left w:val="single" w:color="auto" w:sz="4" w:space="0"/>
              <w:bottom w:val="single" w:color="000000" w:sz="8" w:space="0"/>
              <w:right w:val="single" w:color="000000" w:sz="8" w:space="0"/>
            </w:tcBorders>
            <w:shd w:val="clear" w:color="auto" w:fill="auto"/>
            <w:noWrap/>
            <w:vAlign w:val="center"/>
          </w:tcPr>
          <w:p w14:paraId="508DCED7">
            <w:pPr>
              <w:snapToGrid w:val="0"/>
              <w:jc w:val="left"/>
              <w:rPr>
                <w:rFonts w:hint="eastAsia" w:ascii="宋体" w:hAnsi="宋体" w:eastAsia="宋体" w:cs="宋体"/>
                <w:i w:val="0"/>
                <w:iCs w:val="0"/>
                <w:color w:val="000000"/>
                <w:sz w:val="21"/>
                <w:szCs w:val="21"/>
                <w:u w:val="none"/>
              </w:rPr>
            </w:pPr>
          </w:p>
        </w:tc>
      </w:tr>
    </w:tbl>
    <w:p w14:paraId="59B89455">
      <w:pPr>
        <w:pStyle w:val="13"/>
        <w:ind w:firstLine="0" w:firstLineChars="0"/>
        <w:jc w:val="both"/>
        <w:rPr>
          <w:color w:val="000000"/>
        </w:rPr>
        <w:sectPr>
          <w:pgSz w:w="16838" w:h="11906" w:orient="landscape"/>
          <w:pgMar w:top="1797" w:right="1440" w:bottom="1797" w:left="1440" w:header="851" w:footer="992" w:gutter="0"/>
          <w:cols w:space="720" w:num="1"/>
          <w:titlePg/>
          <w:docGrid w:type="lines" w:linePitch="312" w:charSpace="0"/>
        </w:sectPr>
      </w:pPr>
    </w:p>
    <w:p w14:paraId="63ED3F04">
      <w:pPr>
        <w:pStyle w:val="13"/>
        <w:ind w:firstLine="0" w:firstLineChars="0"/>
        <w:jc w:val="both"/>
        <w:rPr>
          <w:rFonts w:hint="eastAsia" w:eastAsia="宋体"/>
          <w:color w:val="000000"/>
          <w:lang w:eastAsia="zh-CN"/>
        </w:rPr>
      </w:pPr>
      <w:r>
        <w:rPr>
          <w:rFonts w:hint="eastAsia"/>
          <w:color w:val="000000"/>
        </w:rPr>
        <w:t xml:space="preserve">   第六部分</w:t>
      </w:r>
      <w:r>
        <w:rPr>
          <w:rFonts w:hint="eastAsia"/>
          <w:color w:val="000000"/>
          <w:lang w:eastAsia="zh-CN"/>
        </w:rPr>
        <w:t>：</w:t>
      </w:r>
      <w:r>
        <w:rPr>
          <w:rFonts w:hint="eastAsia"/>
          <w:color w:val="000000"/>
        </w:rPr>
        <w:t xml:space="preserve"> </w:t>
      </w:r>
      <w:bookmarkStart w:id="6" w:name="_Toc7977"/>
      <w:r>
        <w:rPr>
          <w:rFonts w:hint="eastAsia"/>
          <w:color w:val="000000"/>
        </w:rPr>
        <w:t>淮南东方医院集团系统方案配置</w:t>
      </w:r>
      <w:r>
        <w:rPr>
          <w:rFonts w:hint="eastAsia"/>
          <w:color w:val="000000"/>
          <w:lang w:val="en-US" w:eastAsia="zh-CN"/>
        </w:rPr>
        <w:t>报价</w:t>
      </w:r>
      <w:r>
        <w:rPr>
          <w:rFonts w:hint="eastAsia"/>
          <w:color w:val="000000"/>
        </w:rPr>
        <w:t>清单</w:t>
      </w:r>
      <w:r>
        <w:rPr>
          <w:rFonts w:hint="eastAsia"/>
          <w:color w:val="000000"/>
          <w:lang w:eastAsia="zh-CN"/>
        </w:rPr>
        <w:t>（</w:t>
      </w:r>
      <w:r>
        <w:rPr>
          <w:rFonts w:hint="eastAsia"/>
          <w:color w:val="000000"/>
          <w:lang w:val="en-US" w:eastAsia="zh-CN"/>
        </w:rPr>
        <w:t>含硬件、AI相关、接口部分</w:t>
      </w:r>
      <w:r>
        <w:rPr>
          <w:rFonts w:hint="eastAsia"/>
          <w:color w:val="000000"/>
          <w:lang w:eastAsia="zh-CN"/>
        </w:rPr>
        <w:t>）</w:t>
      </w:r>
    </w:p>
    <w:bookmarkEnd w:id="6"/>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1"/>
        <w:gridCol w:w="2513"/>
        <w:gridCol w:w="1487"/>
      </w:tblGrid>
      <w:tr w14:paraId="51A4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8C5B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rPr>
              <w:t>产品领域</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55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rPr>
              <w:t>模块名称</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8BF2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rPr>
              <w:t>价格（元）</w:t>
            </w:r>
          </w:p>
        </w:tc>
      </w:tr>
      <w:tr w14:paraId="22D3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AF8C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健康体检</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AD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1488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0E2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2A02D">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B4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1950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2F48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F835">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E3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8853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7BC7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right w:val="single" w:color="000000" w:sz="4" w:space="0"/>
            </w:tcBorders>
            <w:shd w:val="clear" w:color="auto" w:fill="auto"/>
            <w:noWrap w:val="0"/>
            <w:vAlign w:val="center"/>
          </w:tcPr>
          <w:p w14:paraId="054278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职业病体检</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25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498C027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107A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AA077C8">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51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096337C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5496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878802C">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9B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53298C9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358D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3CBB3100">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36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0DD1786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63FA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6078A3F">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D6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0A28989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658F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0B420A5">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14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2D20CF8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3C06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bottom w:val="single" w:color="000000" w:sz="4" w:space="0"/>
              <w:right w:val="single" w:color="000000" w:sz="4" w:space="0"/>
            </w:tcBorders>
            <w:shd w:val="clear" w:color="auto" w:fill="auto"/>
            <w:noWrap w:val="0"/>
            <w:vAlign w:val="center"/>
          </w:tcPr>
          <w:p w14:paraId="43D2A8D3">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A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22AB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305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restart"/>
            <w:tcBorders>
              <w:top w:val="single" w:color="000000" w:sz="4" w:space="0"/>
              <w:left w:val="single" w:color="000000" w:sz="4" w:space="0"/>
              <w:right w:val="single" w:color="000000" w:sz="4" w:space="0"/>
            </w:tcBorders>
            <w:shd w:val="clear" w:color="auto" w:fill="auto"/>
            <w:noWrap w:val="0"/>
            <w:vAlign w:val="center"/>
          </w:tcPr>
          <w:p w14:paraId="5BF3F49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智能导诊(含硬件)</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4BD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4FEC6E3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A2F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0160FB3">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53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755E298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128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7A3C697F">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71F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15C3388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081A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4C9D35BA">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D86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52E27A8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091D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2341206E">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826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0C575D1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515E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0A275160">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DE6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5550C10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39B2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right w:val="single" w:color="000000" w:sz="4" w:space="0"/>
            </w:tcBorders>
            <w:shd w:val="clear" w:color="auto" w:fill="auto"/>
            <w:noWrap w:val="0"/>
            <w:vAlign w:val="center"/>
          </w:tcPr>
          <w:p w14:paraId="0CCB94C7">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77C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right w:val="single" w:color="000000" w:sz="4" w:space="0"/>
            </w:tcBorders>
            <w:shd w:val="clear" w:color="auto" w:fill="FFFFFF"/>
            <w:noWrap w:val="0"/>
            <w:vAlign w:val="center"/>
          </w:tcPr>
          <w:p w14:paraId="655E39A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6A21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left w:val="single" w:color="000000" w:sz="4" w:space="0"/>
              <w:bottom w:val="single" w:color="000000" w:sz="4" w:space="0"/>
              <w:right w:val="single" w:color="000000" w:sz="4" w:space="0"/>
            </w:tcBorders>
            <w:shd w:val="clear" w:color="auto" w:fill="auto"/>
            <w:noWrap w:val="0"/>
            <w:vAlign w:val="center"/>
          </w:tcPr>
          <w:p w14:paraId="015BC693">
            <w:pPr>
              <w:jc w:val="center"/>
              <w:rPr>
                <w:rFonts w:hint="eastAsia" w:ascii="宋体" w:hAnsi="宋体" w:eastAsia="宋体" w:cs="宋体"/>
                <w:b/>
                <w:bCs/>
                <w:i w:val="0"/>
                <w:iCs w:val="0"/>
                <w:color w:val="000000"/>
                <w:sz w:val="22"/>
                <w:szCs w:val="22"/>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70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7B6FA1C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5762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2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0AC2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体检微信端小程序</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06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restart"/>
            <w:tcBorders>
              <w:top w:val="single" w:color="000000" w:sz="4" w:space="0"/>
              <w:left w:val="single" w:color="000000" w:sz="4" w:space="0"/>
              <w:right w:val="single" w:color="000000" w:sz="4" w:space="0"/>
            </w:tcBorders>
            <w:shd w:val="clear" w:color="auto" w:fill="FFFFFF"/>
            <w:noWrap w:val="0"/>
            <w:vAlign w:val="center"/>
          </w:tcPr>
          <w:p w14:paraId="7A4005F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rPr>
            </w:pPr>
          </w:p>
        </w:tc>
      </w:tr>
      <w:tr w14:paraId="643B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6D9A4">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12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vMerge w:val="continue"/>
            <w:tcBorders>
              <w:left w:val="single" w:color="000000" w:sz="4" w:space="0"/>
              <w:bottom w:val="single" w:color="000000" w:sz="4" w:space="0"/>
              <w:right w:val="single" w:color="000000" w:sz="4" w:space="0"/>
            </w:tcBorders>
            <w:shd w:val="clear" w:color="auto" w:fill="FFFFFF"/>
            <w:noWrap w:val="0"/>
            <w:vAlign w:val="center"/>
          </w:tcPr>
          <w:p w14:paraId="424E693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7F6A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8DF46">
            <w:pPr>
              <w:jc w:val="center"/>
              <w:rPr>
                <w:rFonts w:hint="eastAsia" w:ascii="宋体" w:hAnsi="宋体" w:eastAsia="宋体" w:cs="宋体"/>
                <w:b/>
                <w:bCs/>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D1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C73F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rPr>
            </w:pPr>
          </w:p>
        </w:tc>
      </w:tr>
      <w:tr w14:paraId="453A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075BFD">
            <w:pPr>
              <w:jc w:val="center"/>
              <w:rPr>
                <w:rFonts w:hint="eastAsia" w:ascii="宋体" w:hAnsi="宋体" w:eastAsia="宋体" w:cs="宋体"/>
                <w:b/>
                <w:bCs/>
                <w:i w:val="0"/>
                <w:iCs w:val="0"/>
                <w:color w:val="000000"/>
                <w:sz w:val="20"/>
                <w:szCs w:val="20"/>
                <w:u w:val="none"/>
              </w:rPr>
            </w:pP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2D6FB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E2802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2826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876B1">
            <w:pPr>
              <w:jc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企业服务端管理系统</w:t>
            </w: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E603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28CC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55AA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0A1FB">
            <w:pPr>
              <w:jc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AI功能延伸</w:t>
            </w: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5586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271E2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51C9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80377">
            <w:pPr>
              <w:jc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售后服务方案</w:t>
            </w:r>
          </w:p>
        </w:tc>
        <w:tc>
          <w:tcPr>
            <w:tcW w:w="2513"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6894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03ABA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r w14:paraId="7D66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jc w:val="center"/>
        </w:trPr>
        <w:tc>
          <w:tcPr>
            <w:tcW w:w="25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F71D5">
            <w:pPr>
              <w:jc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职业病省平台接口</w:t>
            </w:r>
          </w:p>
        </w:tc>
        <w:tc>
          <w:tcPr>
            <w:tcW w:w="2513"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5E6F3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BFA8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rPr>
            </w:pPr>
          </w:p>
        </w:tc>
      </w:tr>
    </w:tbl>
    <w:p w14:paraId="0CE47EB2">
      <w:pPr>
        <w:ind w:firstLine="480"/>
        <w:rPr>
          <w:color w:val="000000"/>
          <w:sz w:val="24"/>
        </w:rPr>
      </w:pPr>
    </w:p>
    <w:p w14:paraId="146560B4">
      <w:pPr>
        <w:pStyle w:val="7"/>
        <w:ind w:firstLine="0" w:firstLineChars="0"/>
        <w:jc w:val="both"/>
        <w:rPr>
          <w:color w:val="000000"/>
        </w:rPr>
      </w:pPr>
    </w:p>
    <w:p w14:paraId="0D479F89">
      <w:pPr>
        <w:ind w:firstLine="420"/>
        <w:rPr>
          <w:color w:val="000000"/>
        </w:rPr>
      </w:pPr>
    </w:p>
    <w:p w14:paraId="1EB9034F">
      <w:pPr>
        <w:pStyle w:val="7"/>
        <w:ind w:firstLine="0" w:firstLineChars="0"/>
        <w:jc w:val="both"/>
        <w:rPr>
          <w:color w:val="000000"/>
        </w:rPr>
      </w:pPr>
    </w:p>
    <w:p w14:paraId="3DA72556">
      <w:pPr>
        <w:ind w:firstLine="5760" w:firstLineChars="2400"/>
        <w:rPr>
          <w:color w:val="000000"/>
          <w:sz w:val="24"/>
        </w:rPr>
      </w:pPr>
      <w:r>
        <w:rPr>
          <w:rFonts w:hint="eastAsia"/>
          <w:color w:val="000000"/>
          <w:sz w:val="24"/>
        </w:rPr>
        <w:t>标人公章</w:t>
      </w:r>
    </w:p>
    <w:p w14:paraId="6A79F440">
      <w:pPr>
        <w:ind w:firstLine="480"/>
        <w:rPr>
          <w:color w:val="000000"/>
          <w:sz w:val="24"/>
        </w:rPr>
      </w:pPr>
    </w:p>
    <w:p w14:paraId="060492A2">
      <w:pPr>
        <w:rPr>
          <w:rFonts w:hint="default" w:eastAsia="宋体"/>
          <w:lang w:val="en-US" w:eastAsia="zh-CN"/>
        </w:rPr>
      </w:pPr>
      <w:r>
        <w:rPr>
          <w:rFonts w:hint="eastAsia"/>
          <w:color w:val="000000"/>
          <w:sz w:val="24"/>
        </w:rPr>
        <w:t xml:space="preserve">            </w:t>
      </w:r>
      <w:r>
        <w:rPr>
          <w:rFonts w:hint="eastAsia"/>
          <w:sz w:val="24"/>
        </w:rPr>
        <w:t xml:space="preserve">                                 20</w:t>
      </w:r>
      <w:r>
        <w:rPr>
          <w:rFonts w:hint="eastAsia"/>
          <w:sz w:val="24"/>
          <w:lang w:val="en-US" w:eastAsia="zh-CN"/>
        </w:rPr>
        <w:t>25</w:t>
      </w:r>
      <w:r>
        <w:rPr>
          <w:rFonts w:hint="eastAsia"/>
          <w:sz w:val="24"/>
        </w:rPr>
        <w:t>年</w:t>
      </w:r>
      <w:r>
        <w:rPr>
          <w:rFonts w:hint="eastAsia"/>
          <w:sz w:val="24"/>
          <w:lang w:val="en-US" w:eastAsia="zh-CN"/>
        </w:rPr>
        <w:t>09月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2C03">
    <w:pPr>
      <w:pStyle w:val="5"/>
      <w:pBdr>
        <w:top w:val="single" w:color="auto" w:sz="4" w:space="1"/>
      </w:pBdr>
      <w:tabs>
        <w:tab w:val="clear" w:pos="4153"/>
      </w:tabs>
      <w:ind w:firstLine="42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2366D">
                          <w:pPr>
                            <w:pStyle w:val="5"/>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4802366D">
                    <w:pPr>
                      <w:pStyle w:val="5"/>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6B3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35B3">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7F996">
                          <w:pPr>
                            <w:pStyle w:val="5"/>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14E7F996">
                    <w:pPr>
                      <w:pStyle w:val="5"/>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7AC7">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E11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A47E">
    <w:pPr>
      <w:pStyle w:val="6"/>
      <w:pBdr>
        <w:bottom w:val="single" w:color="auto" w:sz="4"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24D8D"/>
    <w:multiLevelType w:val="multilevel"/>
    <w:tmpl w:val="AEA24D8D"/>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DC601E85"/>
    <w:multiLevelType w:val="multilevel"/>
    <w:tmpl w:val="DC601E85"/>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F9FF670A"/>
    <w:multiLevelType w:val="multilevel"/>
    <w:tmpl w:val="F9FF670A"/>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93039D8"/>
    <w:multiLevelType w:val="multilevel"/>
    <w:tmpl w:val="093039D8"/>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E3335B3"/>
    <w:multiLevelType w:val="multilevel"/>
    <w:tmpl w:val="1E3335B3"/>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24A2565"/>
    <w:multiLevelType w:val="multilevel"/>
    <w:tmpl w:val="224A2565"/>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E412643"/>
    <w:multiLevelType w:val="multilevel"/>
    <w:tmpl w:val="2E412643"/>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E872C49"/>
    <w:multiLevelType w:val="multilevel"/>
    <w:tmpl w:val="2E872C49"/>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8">
    <w:nsid w:val="4C8EACA6"/>
    <w:multiLevelType w:val="multilevel"/>
    <w:tmpl w:val="4C8EACA6"/>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140"/>
        </w:tabs>
        <w:ind w:left="114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4E3F0CE4"/>
    <w:multiLevelType w:val="multilevel"/>
    <w:tmpl w:val="4E3F0CE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A5F49DA"/>
    <w:multiLevelType w:val="multilevel"/>
    <w:tmpl w:val="5A5F49D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5EC32F1B"/>
    <w:multiLevelType w:val="multilevel"/>
    <w:tmpl w:val="5EC32F1B"/>
    <w:lvl w:ilvl="0" w:tentative="0">
      <w:start w:val="1"/>
      <w:numFmt w:val="chineseCountingThousand"/>
      <w:lvlText w:val="%1、"/>
      <w:lvlJc w:val="left"/>
      <w:pPr>
        <w:tabs>
          <w:tab w:val="left" w:pos="900"/>
        </w:tabs>
        <w:ind w:left="90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FD81C8D"/>
    <w:multiLevelType w:val="multilevel"/>
    <w:tmpl w:val="5FD81C8D"/>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6F433043"/>
    <w:multiLevelType w:val="multilevel"/>
    <w:tmpl w:val="6F433043"/>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25C0E54"/>
    <w:multiLevelType w:val="multilevel"/>
    <w:tmpl w:val="725C0E54"/>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748022CB"/>
    <w:multiLevelType w:val="multilevel"/>
    <w:tmpl w:val="748022CB"/>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6">
    <w:nsid w:val="78301C5A"/>
    <w:multiLevelType w:val="multilevel"/>
    <w:tmpl w:val="78301C5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11"/>
  </w:num>
  <w:num w:numId="3">
    <w:abstractNumId w:val="6"/>
  </w:num>
  <w:num w:numId="4">
    <w:abstractNumId w:val="16"/>
  </w:num>
  <w:num w:numId="5">
    <w:abstractNumId w:val="1"/>
  </w:num>
  <w:num w:numId="6">
    <w:abstractNumId w:val="0"/>
  </w:num>
  <w:num w:numId="7">
    <w:abstractNumId w:val="2"/>
  </w:num>
  <w:num w:numId="8">
    <w:abstractNumId w:val="8"/>
  </w:num>
  <w:num w:numId="9">
    <w:abstractNumId w:val="12"/>
  </w:num>
  <w:num w:numId="10">
    <w:abstractNumId w:val="7"/>
  </w:num>
  <w:num w:numId="11">
    <w:abstractNumId w:val="15"/>
  </w:num>
  <w:num w:numId="12">
    <w:abstractNumId w:val="9"/>
  </w:num>
  <w:num w:numId="13">
    <w:abstractNumId w:val="3"/>
  </w:num>
  <w:num w:numId="14">
    <w:abstractNumId w:val="10"/>
  </w:num>
  <w:num w:numId="15">
    <w:abstractNumId w:val="14"/>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690F"/>
    <w:rsid w:val="16A0690F"/>
    <w:rsid w:val="28B1694E"/>
    <w:rsid w:val="2A0D71DF"/>
    <w:rsid w:val="34366547"/>
    <w:rsid w:val="412C2B66"/>
    <w:rsid w:val="4FAB400F"/>
    <w:rsid w:val="50097ED6"/>
    <w:rsid w:val="5C441A74"/>
    <w:rsid w:val="75D85A64"/>
    <w:rsid w:val="77A95CDF"/>
    <w:rsid w:val="7EBE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firstLineChars="0"/>
      <w:jc w:val="left"/>
    </w:pPr>
    <w:rPr>
      <w:rFonts w:ascii="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customStyle="1" w:styleId="10">
    <w:name w:val="样式 样式 首行缩进:  2 字符 + 宋体 首行缩进:  2 字符"/>
    <w:basedOn w:val="11"/>
    <w:qFormat/>
    <w:uiPriority w:val="0"/>
    <w:pPr>
      <w:spacing w:before="50" w:beforeLines="50" w:after="50" w:afterLines="50"/>
      <w:ind w:firstLine="200"/>
    </w:pPr>
    <w:rPr>
      <w:rFonts w:ascii="宋体" w:hAnsi="宋体"/>
      <w:szCs w:val="20"/>
    </w:rPr>
  </w:style>
  <w:style w:type="paragraph" w:customStyle="1" w:styleId="11">
    <w:name w:val="样式 首行缩进:  2 字符"/>
    <w:basedOn w:val="1"/>
    <w:qFormat/>
    <w:uiPriority w:val="0"/>
    <w:pPr>
      <w:ind w:firstLine="420"/>
    </w:pPr>
    <w:rPr>
      <w:rFonts w:cs="宋体"/>
      <w:sz w:val="24"/>
    </w:rPr>
  </w:style>
  <w:style w:type="paragraph" w:customStyle="1" w:styleId="12">
    <w:name w:val="样式 标题 1 + 首行缩进:  2 字符"/>
    <w:basedOn w:val="2"/>
    <w:qFormat/>
    <w:uiPriority w:val="0"/>
    <w:pPr>
      <w:ind w:firstLine="883"/>
      <w:jc w:val="center"/>
    </w:pPr>
    <w:rPr>
      <w:rFonts w:cs="宋体"/>
      <w:szCs w:val="20"/>
    </w:rPr>
  </w:style>
  <w:style w:type="paragraph" w:customStyle="1" w:styleId="13">
    <w:name w:val="样式 标题 2 + 首行缩进:  2 字符"/>
    <w:basedOn w:val="3"/>
    <w:qFormat/>
    <w:uiPriority w:val="0"/>
    <w:pPr>
      <w:ind w:firstLine="643"/>
      <w:jc w:val="center"/>
    </w:pPr>
    <w:rPr>
      <w:rFonts w:eastAsia="宋体" w:cs="宋体"/>
      <w:b w:val="0"/>
      <w:sz w:val="28"/>
      <w:szCs w:val="20"/>
    </w:rPr>
  </w:style>
  <w:style w:type="paragraph" w:customStyle="1" w:styleId="14">
    <w:name w:val="样式 样式 首行缩进:  2 字符 + 宋体"/>
    <w:basedOn w:val="11"/>
    <w:qFormat/>
    <w:uiPriority w:val="0"/>
    <w:pPr>
      <w:spacing w:before="50" w:beforeLines="50" w:after="50" w:afterLines="50"/>
      <w:ind w:firstLine="200"/>
    </w:pPr>
    <w:rPr>
      <w:rFonts w:ascii="宋体" w:hAnsi="宋体"/>
    </w:rPr>
  </w:style>
  <w:style w:type="character" w:customStyle="1" w:styleId="15">
    <w:name w:val="font31"/>
    <w:basedOn w:val="9"/>
    <w:qFormat/>
    <w:uiPriority w:val="0"/>
    <w:rPr>
      <w:rFonts w:hint="eastAsia" w:ascii="宋体" w:hAnsi="宋体" w:eastAsia="宋体" w:cs="宋体"/>
      <w:color w:val="000000"/>
      <w:sz w:val="21"/>
      <w:szCs w:val="21"/>
      <w:u w:val="none"/>
    </w:rPr>
  </w:style>
  <w:style w:type="character" w:customStyle="1" w:styleId="16">
    <w:name w:val="font61"/>
    <w:basedOn w:val="9"/>
    <w:qFormat/>
    <w:uiPriority w:val="0"/>
    <w:rPr>
      <w:rFonts w:hint="default" w:ascii="Times New Roman" w:hAnsi="Times New Roman" w:cs="Times New Roman"/>
      <w:color w:val="000000"/>
      <w:sz w:val="21"/>
      <w:szCs w:val="21"/>
      <w:u w:val="none"/>
    </w:rPr>
  </w:style>
  <w:style w:type="character" w:customStyle="1" w:styleId="17">
    <w:name w:val="font21"/>
    <w:basedOn w:val="9"/>
    <w:qFormat/>
    <w:uiPriority w:val="0"/>
    <w:rPr>
      <w:rFonts w:hint="eastAsia" w:ascii="宋体" w:hAnsi="宋体" w:eastAsia="宋体" w:cs="宋体"/>
      <w:color w:val="000000"/>
      <w:sz w:val="21"/>
      <w:szCs w:val="21"/>
      <w:u w:val="none"/>
    </w:rPr>
  </w:style>
  <w:style w:type="character" w:customStyle="1" w:styleId="18">
    <w:name w:val="font41"/>
    <w:basedOn w:val="9"/>
    <w:qFormat/>
    <w:uiPriority w:val="0"/>
    <w:rPr>
      <w:rFonts w:hint="eastAsia" w:ascii="宋体" w:hAnsi="宋体" w:eastAsia="宋体" w:cs="宋体"/>
      <w:b/>
      <w:bCs/>
      <w:color w:val="000000"/>
      <w:sz w:val="24"/>
      <w:szCs w:val="24"/>
      <w:u w:val="none"/>
    </w:rPr>
  </w:style>
  <w:style w:type="character" w:customStyle="1" w:styleId="19">
    <w:name w:val="font5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5714</Words>
  <Characters>5802</Characters>
  <Lines>0</Lines>
  <Paragraphs>0</Paragraphs>
  <TotalTime>121</TotalTime>
  <ScaleCrop>false</ScaleCrop>
  <LinksUpToDate>false</LinksUpToDate>
  <CharactersWithSpaces>5849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2025-09-13T03:39:00Z</dcterms:created>
  <dc:creator>tomy</dc:creator>
  <cp:lastModifiedBy>tomy</cp:lastModifiedBy>
  <dcterms:modified xsi:type="dcterms:W3CDTF">2025-09-19T03:35:57Z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112AB54415C346E88AEB45DAE4ACD529_13</vt:lpwstr>
  </property>
  <property fmtid="{D5CDD505-2E9C-101B-9397-08002B2CF9AE}" pid="4" name="KSOTemplateDocerSaveRecord">
    <vt:lpwstr>eyJoZGlkIjoiNGM4ODc0ZjVkNTViZGE2ZWU1ODAxZTFmMjQ1MWZlZjIiLCJ1c2VySWQiOiIzNjc4OTE4NzUifQ==</vt:lpwstr>
  </property>
</Properties>
</file>