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7FCCC">
      <w:pPr>
        <w:pStyle w:val="12"/>
        <w:spacing w:before="156" w:after="156"/>
        <w:ind w:firstLine="0" w:firstLineChars="0"/>
        <w:rPr>
          <w:color w:val="000000"/>
        </w:rPr>
      </w:pPr>
    </w:p>
    <w:p w14:paraId="6D9124BB">
      <w:pPr>
        <w:pStyle w:val="12"/>
        <w:spacing w:before="156" w:after="156"/>
        <w:ind w:firstLine="0" w:firstLineChars="0"/>
        <w:rPr>
          <w:color w:val="000000"/>
        </w:rPr>
      </w:pPr>
    </w:p>
    <w:p w14:paraId="47556A34">
      <w:pPr>
        <w:pStyle w:val="12"/>
        <w:spacing w:before="156" w:after="156"/>
        <w:ind w:firstLine="0" w:firstLineChars="0"/>
        <w:jc w:val="center"/>
        <w:rPr>
          <w:b/>
          <w:color w:val="000000"/>
          <w:sz w:val="72"/>
          <w:szCs w:val="72"/>
        </w:rPr>
      </w:pPr>
      <w:r>
        <w:rPr>
          <w:rFonts w:hint="eastAsia"/>
          <w:b/>
          <w:color w:val="000000"/>
          <w:sz w:val="72"/>
          <w:szCs w:val="72"/>
        </w:rPr>
        <w:t>招 标 文 件</w:t>
      </w:r>
    </w:p>
    <w:p w14:paraId="3B8ED977">
      <w:pPr>
        <w:pStyle w:val="12"/>
        <w:spacing w:before="156" w:after="156"/>
        <w:ind w:firstLine="0" w:firstLineChars="0"/>
        <w:rPr>
          <w:color w:val="000000"/>
        </w:rPr>
      </w:pPr>
    </w:p>
    <w:p w14:paraId="7EA506EC">
      <w:pPr>
        <w:pStyle w:val="12"/>
        <w:spacing w:before="156" w:after="156"/>
        <w:ind w:firstLine="0" w:firstLineChars="0"/>
        <w:rPr>
          <w:color w:val="000000"/>
        </w:rPr>
      </w:pPr>
    </w:p>
    <w:p w14:paraId="69CF45E7">
      <w:pPr>
        <w:pStyle w:val="12"/>
        <w:spacing w:before="156" w:after="156"/>
        <w:ind w:firstLine="0" w:firstLineChars="0"/>
        <w:jc w:val="center"/>
        <w:rPr>
          <w:b/>
          <w:color w:val="000000"/>
        </w:rPr>
      </w:pPr>
    </w:p>
    <w:p w14:paraId="05A8F4BB">
      <w:pPr>
        <w:pStyle w:val="12"/>
        <w:spacing w:before="156" w:after="156"/>
        <w:ind w:firstLine="0" w:firstLineChars="0"/>
        <w:jc w:val="center"/>
        <w:rPr>
          <w:rFonts w:hint="eastAsia"/>
          <w:b/>
          <w:color w:val="000000"/>
          <w:sz w:val="36"/>
          <w:szCs w:val="36"/>
        </w:rPr>
      </w:pPr>
      <w:r>
        <w:rPr>
          <w:rFonts w:hint="eastAsia"/>
          <w:b/>
          <w:color w:val="000000"/>
          <w:sz w:val="36"/>
          <w:szCs w:val="36"/>
        </w:rPr>
        <w:t>招标系统名称:</w:t>
      </w:r>
      <w:r>
        <w:rPr>
          <w:rFonts w:hint="eastAsia"/>
          <w:color w:val="000000"/>
        </w:rPr>
        <w:t xml:space="preserve"> </w:t>
      </w:r>
      <w:r>
        <w:rPr>
          <w:rFonts w:hint="eastAsia"/>
          <w:b/>
          <w:color w:val="000000"/>
          <w:sz w:val="36"/>
          <w:szCs w:val="36"/>
          <w:lang w:val="en-US" w:eastAsia="zh-CN"/>
        </w:rPr>
        <w:t>淮南东方医院集团互联网医院系统升级建设</w:t>
      </w:r>
    </w:p>
    <w:p w14:paraId="0F8A4AB6">
      <w:pPr>
        <w:pStyle w:val="12"/>
        <w:spacing w:before="156" w:after="156"/>
        <w:ind w:firstLine="0" w:firstLineChars="0"/>
        <w:jc w:val="center"/>
        <w:rPr>
          <w:b/>
          <w:color w:val="000000"/>
        </w:rPr>
      </w:pPr>
    </w:p>
    <w:p w14:paraId="5625C381">
      <w:pPr>
        <w:pStyle w:val="12"/>
        <w:spacing w:before="156" w:after="156"/>
        <w:ind w:firstLine="0" w:firstLineChars="0"/>
        <w:jc w:val="center"/>
        <w:rPr>
          <w:b/>
          <w:color w:val="000000"/>
        </w:rPr>
      </w:pPr>
    </w:p>
    <w:p w14:paraId="2EB9948E">
      <w:pPr>
        <w:pStyle w:val="12"/>
        <w:spacing w:before="156" w:after="156"/>
        <w:ind w:firstLine="0" w:firstLineChars="0"/>
        <w:jc w:val="center"/>
        <w:rPr>
          <w:b/>
          <w:color w:val="000000"/>
        </w:rPr>
      </w:pPr>
    </w:p>
    <w:p w14:paraId="0EDEB152">
      <w:pPr>
        <w:pStyle w:val="12"/>
        <w:spacing w:before="156" w:after="156"/>
        <w:ind w:firstLine="0" w:firstLineChars="0"/>
        <w:jc w:val="center"/>
        <w:rPr>
          <w:b/>
          <w:color w:val="000000"/>
          <w:sz w:val="36"/>
          <w:szCs w:val="36"/>
        </w:rPr>
      </w:pPr>
    </w:p>
    <w:p w14:paraId="1043AD8C">
      <w:pPr>
        <w:pStyle w:val="12"/>
        <w:spacing w:before="156" w:after="156"/>
        <w:ind w:firstLine="0" w:firstLineChars="0"/>
        <w:jc w:val="center"/>
        <w:rPr>
          <w:b/>
          <w:color w:val="000000"/>
          <w:sz w:val="36"/>
          <w:szCs w:val="36"/>
        </w:rPr>
      </w:pPr>
    </w:p>
    <w:p w14:paraId="07D9D2D4">
      <w:pPr>
        <w:pStyle w:val="12"/>
        <w:spacing w:before="0" w:beforeLines="0" w:after="0" w:afterLines="0"/>
        <w:ind w:firstLine="0" w:firstLineChars="0"/>
        <w:jc w:val="center"/>
        <w:rPr>
          <w:b/>
          <w:color w:val="000000"/>
          <w:sz w:val="30"/>
          <w:szCs w:val="30"/>
        </w:rPr>
      </w:pPr>
      <w:r>
        <w:rPr>
          <w:rFonts w:hint="eastAsia"/>
          <w:b/>
          <w:color w:val="000000"/>
          <w:sz w:val="30"/>
          <w:szCs w:val="30"/>
        </w:rPr>
        <w:t>淮南东方医院集团招标委员会</w:t>
      </w:r>
    </w:p>
    <w:p w14:paraId="4B020576">
      <w:pPr>
        <w:pStyle w:val="12"/>
        <w:spacing w:before="0" w:beforeLines="0" w:after="0" w:afterLines="0"/>
        <w:ind w:firstLine="0" w:firstLineChars="0"/>
        <w:jc w:val="center"/>
        <w:rPr>
          <w:b/>
          <w:color w:val="000000"/>
          <w:sz w:val="30"/>
          <w:szCs w:val="30"/>
        </w:rPr>
      </w:pPr>
      <w:r>
        <w:rPr>
          <w:rFonts w:hint="eastAsia"/>
          <w:b/>
          <w:color w:val="000000"/>
          <w:sz w:val="30"/>
          <w:szCs w:val="30"/>
        </w:rPr>
        <w:t>二○XX年XX月</w:t>
      </w:r>
    </w:p>
    <w:p w14:paraId="7A582E48">
      <w:pPr>
        <w:pStyle w:val="12"/>
        <w:spacing w:before="156" w:after="156"/>
        <w:ind w:left="4819" w:leftChars="2295" w:firstLine="0" w:firstLineChars="0"/>
        <w:rPr>
          <w:color w:val="000000"/>
        </w:rPr>
      </w:pPr>
    </w:p>
    <w:p w14:paraId="15FBD978">
      <w:pPr>
        <w:pStyle w:val="14"/>
        <w:ind w:firstLine="0" w:firstLineChars="0"/>
        <w:rPr>
          <w:color w:val="000000"/>
        </w:rPr>
      </w:pPr>
      <w:r>
        <w:rPr>
          <w:color w:val="000000"/>
        </w:rPr>
        <w:br w:type="page"/>
      </w:r>
      <w:r>
        <w:rPr>
          <w:rFonts w:hint="eastAsia"/>
          <w:color w:val="000000"/>
        </w:rPr>
        <w:t>招标文件</w:t>
      </w:r>
    </w:p>
    <w:p w14:paraId="1E62023D">
      <w:pPr>
        <w:pStyle w:val="12"/>
        <w:spacing w:before="156" w:after="156"/>
        <w:ind w:firstLine="480"/>
        <w:rPr>
          <w:rFonts w:hint="eastAsia" w:eastAsia="宋体"/>
          <w:color w:val="000000"/>
          <w:lang w:eastAsia="zh-CN"/>
        </w:rPr>
      </w:pPr>
      <w:r>
        <w:rPr>
          <w:rFonts w:hint="eastAsia"/>
          <w:color w:val="000000"/>
        </w:rPr>
        <w:t xml:space="preserve">招标物资名称: </w:t>
      </w:r>
      <w:r>
        <w:rPr>
          <w:rFonts w:hint="eastAsia"/>
          <w:color w:val="000000"/>
          <w:lang w:eastAsia="zh-CN"/>
        </w:rPr>
        <w:t>淮南东方医院集团互联网医院系统升级建设</w:t>
      </w:r>
    </w:p>
    <w:p w14:paraId="669AF4AD">
      <w:pPr>
        <w:pStyle w:val="15"/>
        <w:ind w:firstLine="0" w:firstLineChars="0"/>
        <w:rPr>
          <w:color w:val="000000"/>
        </w:rPr>
      </w:pPr>
      <w:r>
        <w:rPr>
          <w:rFonts w:hint="eastAsia"/>
          <w:color w:val="000000"/>
        </w:rPr>
        <w:t xml:space="preserve">第一部分  </w:t>
      </w:r>
      <w:r>
        <w:rPr>
          <w:rFonts w:hint="eastAsia"/>
          <w:color w:val="000000"/>
          <w:lang w:eastAsia="zh-CN"/>
        </w:rPr>
        <w:t>淮南东方医院集团互联网医院系统升级建设</w:t>
      </w:r>
      <w:r>
        <w:rPr>
          <w:rFonts w:hint="eastAsia"/>
          <w:color w:val="000000"/>
        </w:rPr>
        <w:t>招标函</w:t>
      </w:r>
    </w:p>
    <w:p w14:paraId="74F392BB">
      <w:pPr>
        <w:pStyle w:val="16"/>
        <w:numPr>
          <w:ilvl w:val="0"/>
          <w:numId w:val="1"/>
        </w:numPr>
        <w:spacing w:before="156" w:after="156"/>
        <w:ind w:firstLineChars="0"/>
        <w:rPr>
          <w:color w:val="000000"/>
        </w:rPr>
      </w:pPr>
      <w:r>
        <w:rPr>
          <w:rFonts w:hint="eastAsia"/>
          <w:color w:val="000000"/>
        </w:rPr>
        <w:t>项目名称：</w:t>
      </w:r>
      <w:r>
        <w:rPr>
          <w:rFonts w:hint="eastAsia"/>
          <w:color w:val="000000"/>
          <w:lang w:eastAsia="zh-CN"/>
        </w:rPr>
        <w:t>淮南东方医院集团互联网医院系统升级建设</w:t>
      </w:r>
    </w:p>
    <w:p w14:paraId="305F2DA1">
      <w:pPr>
        <w:pStyle w:val="16"/>
        <w:numPr>
          <w:ilvl w:val="0"/>
          <w:numId w:val="1"/>
        </w:numPr>
        <w:spacing w:before="156" w:after="156"/>
        <w:ind w:firstLineChars="0"/>
        <w:rPr>
          <w:color w:val="000000"/>
        </w:rPr>
      </w:pPr>
      <w:r>
        <w:rPr>
          <w:rFonts w:hint="eastAsia"/>
          <w:color w:val="000000"/>
        </w:rPr>
        <w:t>采购内容：</w:t>
      </w:r>
      <w:r>
        <w:rPr>
          <w:rFonts w:hint="eastAsia"/>
          <w:color w:val="000000"/>
          <w:lang w:eastAsia="zh-CN"/>
        </w:rPr>
        <w:t>淮南东方医院集团互联网医院系统升级建设</w:t>
      </w:r>
      <w:r>
        <w:rPr>
          <w:rFonts w:hint="eastAsia"/>
          <w:color w:val="000000"/>
        </w:rPr>
        <w:t>，详见附件</w:t>
      </w:r>
    </w:p>
    <w:p w14:paraId="273D9459">
      <w:pPr>
        <w:pStyle w:val="16"/>
        <w:numPr>
          <w:ilvl w:val="0"/>
          <w:numId w:val="1"/>
        </w:numPr>
        <w:spacing w:before="156" w:after="156"/>
        <w:ind w:firstLineChars="0"/>
        <w:rPr>
          <w:color w:val="000000"/>
        </w:rPr>
      </w:pPr>
      <w:r>
        <w:rPr>
          <w:rFonts w:hint="eastAsia"/>
          <w:color w:val="000000"/>
        </w:rPr>
        <w:t>具体要求：</w:t>
      </w:r>
    </w:p>
    <w:p w14:paraId="06197598">
      <w:pPr>
        <w:pStyle w:val="12"/>
        <w:numPr>
          <w:ilvl w:val="1"/>
          <w:numId w:val="1"/>
        </w:numPr>
        <w:spacing w:before="156" w:after="156"/>
        <w:ind w:firstLineChars="0"/>
        <w:rPr>
          <w:color w:val="000000"/>
        </w:rPr>
      </w:pPr>
      <w:r>
        <w:rPr>
          <w:rFonts w:hint="eastAsia"/>
          <w:color w:val="000000"/>
        </w:rPr>
        <w:t>投标人不可以对本采购内容进行分包或转包。</w:t>
      </w:r>
    </w:p>
    <w:p w14:paraId="30ABEAD2">
      <w:pPr>
        <w:pStyle w:val="12"/>
        <w:numPr>
          <w:ilvl w:val="1"/>
          <w:numId w:val="1"/>
        </w:numPr>
        <w:spacing w:before="156" w:after="156"/>
        <w:ind w:firstLineChars="0"/>
        <w:rPr>
          <w:color w:val="000000"/>
        </w:rPr>
      </w:pPr>
      <w:r>
        <w:rPr>
          <w:rFonts w:hint="eastAsia"/>
          <w:color w:val="000000"/>
        </w:rPr>
        <w:t>所有报价均以人民币报价（单位：元），所报价格包含各种税金，运费以及必须提供的各类服务费等。</w:t>
      </w:r>
    </w:p>
    <w:p w14:paraId="1C1BB482">
      <w:pPr>
        <w:pStyle w:val="12"/>
        <w:numPr>
          <w:ilvl w:val="1"/>
          <w:numId w:val="1"/>
        </w:numPr>
        <w:spacing w:before="156" w:after="156"/>
        <w:ind w:firstLineChars="0"/>
        <w:rPr>
          <w:color w:val="000000"/>
        </w:rPr>
      </w:pPr>
      <w:r>
        <w:rPr>
          <w:rFonts w:hint="eastAsia"/>
          <w:color w:val="000000"/>
        </w:rPr>
        <w:t>请在报价的同时附上代表本公司资质的必要的商务证明文件及所采购商品的厂商授权函，并详细说明服务体系及承诺。</w:t>
      </w:r>
    </w:p>
    <w:p w14:paraId="78B931D7">
      <w:pPr>
        <w:pStyle w:val="16"/>
        <w:numPr>
          <w:ilvl w:val="0"/>
          <w:numId w:val="1"/>
        </w:numPr>
        <w:spacing w:before="156" w:after="156"/>
        <w:ind w:firstLineChars="0"/>
        <w:rPr>
          <w:color w:val="000000"/>
        </w:rPr>
      </w:pPr>
      <w:r>
        <w:rPr>
          <w:rFonts w:hint="eastAsia"/>
          <w:color w:val="000000"/>
        </w:rPr>
        <w:t>标书发放：</w:t>
      </w:r>
    </w:p>
    <w:p w14:paraId="307DD297">
      <w:pPr>
        <w:pStyle w:val="12"/>
        <w:numPr>
          <w:ilvl w:val="1"/>
          <w:numId w:val="1"/>
        </w:numPr>
        <w:spacing w:before="156" w:after="156"/>
        <w:ind w:firstLineChars="0"/>
        <w:rPr>
          <w:color w:val="000000"/>
        </w:rPr>
      </w:pPr>
      <w:r>
        <w:rPr>
          <w:rFonts w:hint="eastAsia"/>
          <w:color w:val="000000"/>
        </w:rPr>
        <w:t>时间：</w:t>
      </w:r>
      <w:r>
        <w:rPr>
          <w:color w:val="000000"/>
        </w:rPr>
        <w:t>20</w:t>
      </w:r>
      <w:r>
        <w:rPr>
          <w:rFonts w:hint="eastAsia"/>
          <w:color w:val="000000"/>
          <w:lang w:val="en-US" w:eastAsia="zh-CN"/>
        </w:rPr>
        <w:t>26</w:t>
      </w:r>
      <w:r>
        <w:rPr>
          <w:rFonts w:hint="eastAsia"/>
          <w:color w:val="000000"/>
        </w:rPr>
        <w:t>年</w:t>
      </w:r>
      <w:r>
        <w:rPr>
          <w:rFonts w:hint="eastAsia"/>
          <w:color w:val="000000"/>
          <w:lang w:val="en-US" w:eastAsia="zh-CN"/>
        </w:rPr>
        <w:t>07</w:t>
      </w:r>
      <w:r>
        <w:rPr>
          <w:rFonts w:hint="eastAsia"/>
          <w:color w:val="000000"/>
        </w:rPr>
        <w:t>月</w:t>
      </w:r>
      <w:r>
        <w:rPr>
          <w:rFonts w:hint="eastAsia"/>
          <w:color w:val="000000"/>
          <w:lang w:val="en-US" w:eastAsia="zh-CN"/>
        </w:rPr>
        <w:t>10</w:t>
      </w:r>
      <w:r>
        <w:rPr>
          <w:rFonts w:hint="eastAsia"/>
          <w:color w:val="000000"/>
        </w:rPr>
        <w:t>日至</w:t>
      </w:r>
      <w:r>
        <w:rPr>
          <w:color w:val="000000"/>
        </w:rPr>
        <w:t>20</w:t>
      </w:r>
      <w:r>
        <w:rPr>
          <w:rFonts w:hint="eastAsia"/>
          <w:color w:val="000000"/>
          <w:lang w:val="en-US" w:eastAsia="zh-CN"/>
        </w:rPr>
        <w:t>26</w:t>
      </w:r>
      <w:r>
        <w:rPr>
          <w:rFonts w:hint="eastAsia"/>
          <w:color w:val="000000"/>
        </w:rPr>
        <w:t>年</w:t>
      </w:r>
      <w:r>
        <w:rPr>
          <w:rFonts w:hint="eastAsia"/>
          <w:color w:val="000000"/>
          <w:lang w:val="en-US" w:eastAsia="zh-CN"/>
        </w:rPr>
        <w:t>07</w:t>
      </w:r>
      <w:r>
        <w:rPr>
          <w:rFonts w:hint="eastAsia"/>
          <w:color w:val="000000"/>
        </w:rPr>
        <w:t>月</w:t>
      </w:r>
      <w:r>
        <w:rPr>
          <w:rFonts w:hint="eastAsia"/>
          <w:color w:val="000000"/>
          <w:lang w:val="en-US" w:eastAsia="zh-CN"/>
        </w:rPr>
        <w:t>28</w:t>
      </w:r>
      <w:r>
        <w:rPr>
          <w:rFonts w:hint="eastAsia"/>
          <w:color w:val="000000"/>
        </w:rPr>
        <w:t>日</w:t>
      </w:r>
    </w:p>
    <w:p w14:paraId="7F954815">
      <w:pPr>
        <w:pStyle w:val="12"/>
        <w:numPr>
          <w:ilvl w:val="1"/>
          <w:numId w:val="1"/>
        </w:numPr>
        <w:spacing w:before="156" w:after="156"/>
        <w:ind w:firstLineChars="0"/>
        <w:rPr>
          <w:color w:val="000000"/>
        </w:rPr>
      </w:pPr>
      <w:r>
        <w:rPr>
          <w:rFonts w:hint="eastAsia"/>
          <w:color w:val="000000"/>
        </w:rPr>
        <w:t>地点：淮南东方医院集团招标委员会</w:t>
      </w:r>
    </w:p>
    <w:p w14:paraId="6BA0BE63">
      <w:pPr>
        <w:pStyle w:val="12"/>
        <w:numPr>
          <w:ilvl w:val="1"/>
          <w:numId w:val="1"/>
        </w:numPr>
        <w:spacing w:before="156" w:after="156"/>
        <w:ind w:firstLineChars="0"/>
        <w:rPr>
          <w:color w:val="000000"/>
        </w:rPr>
      </w:pPr>
      <w:r>
        <w:rPr>
          <w:rFonts w:hint="eastAsia"/>
          <w:color w:val="000000"/>
        </w:rPr>
        <w:t>地址：安徽省淮南市田家庵区洞山金家岭路南侧</w:t>
      </w:r>
    </w:p>
    <w:p w14:paraId="2AA5124B">
      <w:pPr>
        <w:pStyle w:val="12"/>
        <w:numPr>
          <w:ilvl w:val="1"/>
          <w:numId w:val="1"/>
        </w:numPr>
        <w:spacing w:before="156" w:after="156"/>
        <w:ind w:firstLineChars="0"/>
        <w:rPr>
          <w:color w:val="000000"/>
        </w:rPr>
      </w:pPr>
      <w:r>
        <w:rPr>
          <w:rFonts w:hint="eastAsia"/>
          <w:color w:val="000000"/>
        </w:rPr>
        <w:t xml:space="preserve">联系人：郭润     联系电话：137 0554 2299    </w:t>
      </w:r>
    </w:p>
    <w:p w14:paraId="67291179">
      <w:pPr>
        <w:pStyle w:val="12"/>
        <w:spacing w:before="156" w:after="156"/>
        <w:ind w:firstLine="2272" w:firstLineChars="947"/>
        <w:rPr>
          <w:color w:val="000000"/>
        </w:rPr>
      </w:pPr>
      <w:r>
        <w:rPr>
          <w:rFonts w:hint="eastAsia"/>
          <w:color w:val="000000"/>
        </w:rPr>
        <w:t xml:space="preserve">张雨               </w:t>
      </w:r>
      <w:r>
        <w:rPr>
          <w:rFonts w:hint="eastAsia"/>
          <w:color w:val="000000"/>
          <w:szCs w:val="24"/>
        </w:rPr>
        <w:t>153 9544 9060</w:t>
      </w:r>
    </w:p>
    <w:p w14:paraId="7E8A61EC">
      <w:pPr>
        <w:pStyle w:val="12"/>
        <w:numPr>
          <w:ilvl w:val="1"/>
          <w:numId w:val="1"/>
        </w:numPr>
        <w:spacing w:before="156" w:after="156"/>
        <w:ind w:firstLineChars="0"/>
        <w:rPr>
          <w:color w:val="000000"/>
        </w:rPr>
      </w:pPr>
      <w:r>
        <w:rPr>
          <w:rFonts w:hint="eastAsia"/>
          <w:color w:val="000000"/>
        </w:rPr>
        <w:t>购买标书价格：0元；</w:t>
      </w:r>
    </w:p>
    <w:p w14:paraId="5CC78F9E">
      <w:pPr>
        <w:pStyle w:val="12"/>
        <w:numPr>
          <w:ilvl w:val="1"/>
          <w:numId w:val="1"/>
        </w:numPr>
        <w:spacing w:before="156" w:after="156"/>
        <w:ind w:firstLineChars="0"/>
        <w:rPr>
          <w:color w:val="000000"/>
        </w:rPr>
      </w:pPr>
      <w:r>
        <w:rPr>
          <w:rFonts w:hint="eastAsia"/>
          <w:color w:val="000000"/>
        </w:rPr>
        <w:t>投标保证金：0万元。</w:t>
      </w:r>
    </w:p>
    <w:p w14:paraId="00457776">
      <w:pPr>
        <w:pStyle w:val="12"/>
        <w:numPr>
          <w:ilvl w:val="1"/>
          <w:numId w:val="1"/>
        </w:numPr>
        <w:spacing w:before="156" w:after="156"/>
        <w:ind w:firstLineChars="0"/>
        <w:rPr>
          <w:color w:val="000000"/>
        </w:rPr>
      </w:pPr>
      <w:r>
        <w:rPr>
          <w:rFonts w:hint="eastAsia"/>
          <w:color w:val="000000"/>
        </w:rPr>
        <w:t>接待时间为每个工作日8：00至16：00。</w:t>
      </w:r>
    </w:p>
    <w:p w14:paraId="420EB756">
      <w:pPr>
        <w:pStyle w:val="16"/>
        <w:numPr>
          <w:ilvl w:val="0"/>
          <w:numId w:val="1"/>
        </w:numPr>
        <w:spacing w:before="156" w:after="156"/>
        <w:ind w:firstLineChars="0"/>
        <w:rPr>
          <w:color w:val="000000"/>
        </w:rPr>
      </w:pPr>
      <w:r>
        <w:rPr>
          <w:rFonts w:hint="eastAsia"/>
          <w:color w:val="000000"/>
        </w:rPr>
        <w:t>投标截止日期：</w:t>
      </w:r>
      <w:r>
        <w:rPr>
          <w:color w:val="000000"/>
        </w:rPr>
        <w:t>20</w:t>
      </w:r>
      <w:r>
        <w:rPr>
          <w:rFonts w:hint="eastAsia"/>
          <w:color w:val="000000"/>
          <w:lang w:val="en-US" w:eastAsia="zh-CN"/>
        </w:rPr>
        <w:t>26</w:t>
      </w:r>
      <w:r>
        <w:rPr>
          <w:rFonts w:hint="eastAsia"/>
          <w:color w:val="000000"/>
        </w:rPr>
        <w:t>年</w:t>
      </w:r>
      <w:r>
        <w:rPr>
          <w:rFonts w:hint="eastAsia"/>
          <w:color w:val="000000"/>
          <w:lang w:val="en-US" w:eastAsia="zh-CN"/>
        </w:rPr>
        <w:t>07</w:t>
      </w:r>
      <w:r>
        <w:rPr>
          <w:rFonts w:hint="eastAsia"/>
          <w:color w:val="000000"/>
        </w:rPr>
        <w:t>月</w:t>
      </w:r>
      <w:r>
        <w:rPr>
          <w:rFonts w:hint="eastAsia"/>
          <w:color w:val="000000"/>
          <w:lang w:val="en-US" w:eastAsia="zh-CN"/>
        </w:rPr>
        <w:t>30</w:t>
      </w:r>
      <w:r>
        <w:rPr>
          <w:rFonts w:hint="eastAsia"/>
          <w:color w:val="000000"/>
        </w:rPr>
        <w:t>日 星期四 上午10点</w:t>
      </w:r>
    </w:p>
    <w:p w14:paraId="0ADB3AE6">
      <w:pPr>
        <w:pStyle w:val="16"/>
        <w:numPr>
          <w:ilvl w:val="0"/>
          <w:numId w:val="1"/>
        </w:numPr>
        <w:spacing w:before="156" w:after="156"/>
        <w:ind w:firstLineChars="0"/>
        <w:rPr>
          <w:color w:val="000000"/>
        </w:rPr>
      </w:pPr>
      <w:r>
        <w:rPr>
          <w:rFonts w:hint="eastAsia"/>
          <w:color w:val="000000"/>
        </w:rPr>
        <w:t>开标时间：</w:t>
      </w:r>
      <w:r>
        <w:rPr>
          <w:color w:val="000000"/>
        </w:rPr>
        <w:t>20</w:t>
      </w:r>
      <w:r>
        <w:rPr>
          <w:rFonts w:hint="eastAsia"/>
          <w:color w:val="000000"/>
          <w:lang w:val="en-US" w:eastAsia="zh-CN"/>
        </w:rPr>
        <w:t>26</w:t>
      </w:r>
      <w:r>
        <w:rPr>
          <w:rFonts w:hint="eastAsia"/>
          <w:color w:val="000000"/>
        </w:rPr>
        <w:t>年</w:t>
      </w:r>
      <w:r>
        <w:rPr>
          <w:rFonts w:hint="eastAsia"/>
          <w:color w:val="000000"/>
          <w:lang w:val="en-US" w:eastAsia="zh-CN"/>
        </w:rPr>
        <w:t>07</w:t>
      </w:r>
      <w:r>
        <w:rPr>
          <w:rFonts w:hint="eastAsia"/>
          <w:color w:val="000000"/>
        </w:rPr>
        <w:t>月</w:t>
      </w:r>
      <w:r>
        <w:rPr>
          <w:rFonts w:hint="eastAsia"/>
          <w:color w:val="000000"/>
          <w:lang w:val="en-US" w:eastAsia="zh-CN"/>
        </w:rPr>
        <w:t>31</w:t>
      </w:r>
      <w:r>
        <w:rPr>
          <w:rFonts w:hint="eastAsia"/>
          <w:color w:val="000000"/>
        </w:rPr>
        <w:t>日 星期</w:t>
      </w:r>
      <w:r>
        <w:rPr>
          <w:rFonts w:hint="eastAsia"/>
          <w:color w:val="000000"/>
          <w:lang w:val="en-US" w:eastAsia="zh-CN"/>
        </w:rPr>
        <w:t>五</w:t>
      </w:r>
      <w:r>
        <w:rPr>
          <w:rFonts w:hint="eastAsia"/>
          <w:color w:val="000000"/>
        </w:rPr>
        <w:t xml:space="preserve"> 下午</w:t>
      </w:r>
      <w:r>
        <w:rPr>
          <w:rFonts w:hint="eastAsia"/>
          <w:color w:val="000000"/>
          <w:lang w:val="en-US" w:eastAsia="zh-CN"/>
        </w:rPr>
        <w:t>15</w:t>
      </w:r>
      <w:r>
        <w:rPr>
          <w:rFonts w:hint="eastAsia"/>
          <w:color w:val="000000"/>
        </w:rPr>
        <w:t>：</w:t>
      </w:r>
      <w:r>
        <w:rPr>
          <w:rFonts w:hint="eastAsia"/>
          <w:color w:val="000000"/>
          <w:lang w:val="en-US" w:eastAsia="zh-CN"/>
        </w:rPr>
        <w:t>0</w:t>
      </w:r>
      <w:r>
        <w:rPr>
          <w:rFonts w:hint="eastAsia"/>
          <w:color w:val="000000"/>
        </w:rPr>
        <w:t>0</w:t>
      </w:r>
    </w:p>
    <w:p w14:paraId="12F1E356">
      <w:pPr>
        <w:pStyle w:val="16"/>
        <w:numPr>
          <w:ilvl w:val="0"/>
          <w:numId w:val="1"/>
        </w:numPr>
        <w:spacing w:before="156" w:after="156"/>
        <w:ind w:firstLineChars="0"/>
        <w:rPr>
          <w:color w:val="000000"/>
        </w:rPr>
      </w:pPr>
      <w:r>
        <w:rPr>
          <w:rFonts w:hint="eastAsia"/>
          <w:color w:val="000000"/>
        </w:rPr>
        <w:t>开标地点：安徽省淮南市田家庵区洞山金家岭路南侧/总医院办公楼会   议室（四）</w:t>
      </w:r>
    </w:p>
    <w:p w14:paraId="13E7E425">
      <w:pPr>
        <w:pStyle w:val="15"/>
        <w:ind w:firstLine="0" w:firstLineChars="0"/>
        <w:rPr>
          <w:color w:val="000000"/>
        </w:rPr>
      </w:pPr>
      <w:r>
        <w:rPr>
          <w:color w:val="000000"/>
        </w:rPr>
        <w:br w:type="page"/>
      </w:r>
      <w:r>
        <w:rPr>
          <w:rFonts w:hint="eastAsia"/>
          <w:color w:val="000000"/>
        </w:rPr>
        <w:t>第二部分 投标文件</w:t>
      </w:r>
    </w:p>
    <w:p w14:paraId="3575F85C">
      <w:pPr>
        <w:pStyle w:val="12"/>
        <w:numPr>
          <w:ilvl w:val="0"/>
          <w:numId w:val="2"/>
        </w:numPr>
        <w:tabs>
          <w:tab w:val="left" w:pos="284"/>
          <w:tab w:val="clear" w:pos="900"/>
        </w:tabs>
        <w:spacing w:before="156" w:after="156"/>
        <w:ind w:left="567" w:firstLineChars="0"/>
        <w:rPr>
          <w:color w:val="000000"/>
        </w:rPr>
      </w:pPr>
      <w:r>
        <w:rPr>
          <w:rFonts w:hint="eastAsia"/>
          <w:color w:val="000000"/>
          <w:lang w:eastAsia="zh-CN"/>
        </w:rPr>
        <w:t>淮南东方医院集团互联网医院系统升级建设</w:t>
      </w:r>
      <w:r>
        <w:rPr>
          <w:rFonts w:hint="eastAsia"/>
          <w:color w:val="000000"/>
        </w:rPr>
        <w:t>技术要求及规格:</w:t>
      </w:r>
    </w:p>
    <w:p w14:paraId="5C665EB7">
      <w:pPr>
        <w:pStyle w:val="16"/>
        <w:numPr>
          <w:ilvl w:val="0"/>
          <w:numId w:val="3"/>
        </w:numPr>
        <w:spacing w:before="156" w:after="156"/>
        <w:ind w:firstLineChars="0"/>
        <w:rPr>
          <w:color w:val="000000"/>
        </w:rPr>
      </w:pPr>
      <w:r>
        <w:rPr>
          <w:rFonts w:hint="eastAsia"/>
          <w:color w:val="000000"/>
        </w:rPr>
        <w:t>对投标人的要求</w:t>
      </w:r>
    </w:p>
    <w:p w14:paraId="6E6ADEBB">
      <w:pPr>
        <w:pStyle w:val="12"/>
        <w:numPr>
          <w:ilvl w:val="1"/>
          <w:numId w:val="3"/>
        </w:numPr>
        <w:spacing w:before="156" w:after="156"/>
        <w:ind w:firstLineChars="0"/>
        <w:rPr>
          <w:color w:val="000000"/>
        </w:rPr>
      </w:pPr>
      <w:r>
        <w:rPr>
          <w:rFonts w:hint="eastAsia"/>
          <w:color w:val="000000"/>
        </w:rPr>
        <w:t>投标保证金：投标人应于递交投标书的同时交纳投标保证金，金额为人民币</w:t>
      </w:r>
      <w:r>
        <w:rPr>
          <w:rFonts w:hint="eastAsia"/>
          <w:b/>
          <w:bCs/>
          <w:color w:val="000000"/>
        </w:rPr>
        <w:t>0万元</w:t>
      </w:r>
      <w:r>
        <w:rPr>
          <w:rFonts w:hint="eastAsia"/>
          <w:color w:val="000000"/>
        </w:rPr>
        <w:t>整，作为对本次投标的保证金。</w:t>
      </w:r>
    </w:p>
    <w:p w14:paraId="68EABC82">
      <w:pPr>
        <w:pStyle w:val="12"/>
        <w:numPr>
          <w:ilvl w:val="2"/>
          <w:numId w:val="3"/>
        </w:numPr>
        <w:spacing w:before="156" w:after="156"/>
        <w:ind w:firstLineChars="0"/>
        <w:rPr>
          <w:color w:val="000000"/>
        </w:rPr>
      </w:pPr>
      <w:r>
        <w:rPr>
          <w:rFonts w:hint="eastAsia"/>
          <w:color w:val="000000"/>
        </w:rPr>
        <w:t>投标保证金是投标人对自身投标行为的承诺，如投标人采用虚假的、不真实的货物或投标价格，以及其它干扰本次投标评定的公平性的行为的，招标方将没收其投标保证金。</w:t>
      </w:r>
    </w:p>
    <w:p w14:paraId="5006BB11">
      <w:pPr>
        <w:pStyle w:val="12"/>
        <w:numPr>
          <w:ilvl w:val="2"/>
          <w:numId w:val="3"/>
        </w:numPr>
        <w:spacing w:before="156" w:after="156"/>
        <w:ind w:firstLineChars="0"/>
        <w:rPr>
          <w:color w:val="000000"/>
        </w:rPr>
      </w:pPr>
      <w:r>
        <w:rPr>
          <w:rFonts w:hint="eastAsia"/>
          <w:color w:val="000000"/>
        </w:rPr>
        <w:t>中标的投标人，其投标保证金从中标之日起转为履约保证金（不足部分另行补齐），在合同期满后十五个工作日内，一次性归还（不计利息）。</w:t>
      </w:r>
    </w:p>
    <w:p w14:paraId="286CE22E">
      <w:pPr>
        <w:pStyle w:val="12"/>
        <w:numPr>
          <w:ilvl w:val="2"/>
          <w:numId w:val="3"/>
        </w:numPr>
        <w:spacing w:before="156" w:after="156"/>
        <w:ind w:firstLineChars="0"/>
        <w:rPr>
          <w:color w:val="000000"/>
        </w:rPr>
      </w:pPr>
      <w:r>
        <w:rPr>
          <w:rFonts w:hint="eastAsia"/>
          <w:color w:val="000000"/>
        </w:rPr>
        <w:t>未中标的投标人，其投标保证金于本次投标评定完成后十五个工作日内一次性归还（不计利息）。</w:t>
      </w:r>
    </w:p>
    <w:p w14:paraId="2465DB5E">
      <w:pPr>
        <w:pStyle w:val="12"/>
        <w:numPr>
          <w:ilvl w:val="2"/>
          <w:numId w:val="3"/>
        </w:numPr>
        <w:spacing w:before="156" w:after="156"/>
        <w:ind w:firstLineChars="0"/>
        <w:rPr>
          <w:color w:val="000000"/>
        </w:rPr>
      </w:pPr>
      <w:r>
        <w:rPr>
          <w:rFonts w:hint="eastAsia"/>
          <w:color w:val="000000"/>
        </w:rPr>
        <w:t>投标保证金的归还以转账的方式汇入投标人帐户，所以投标人应在标书中明确给出投标人的汇款信息。</w:t>
      </w:r>
    </w:p>
    <w:p w14:paraId="130BF97E">
      <w:pPr>
        <w:pStyle w:val="12"/>
        <w:numPr>
          <w:ilvl w:val="2"/>
          <w:numId w:val="3"/>
        </w:numPr>
        <w:spacing w:before="156" w:after="156"/>
        <w:ind w:firstLineChars="0"/>
        <w:rPr>
          <w:color w:val="000000"/>
        </w:rPr>
      </w:pPr>
      <w:r>
        <w:rPr>
          <w:rFonts w:ascii="Arial" w:hAnsi="Arial"/>
          <w:color w:val="000000"/>
        </w:rPr>
        <w:t>投标保证金可采用下列形式之一种：</w:t>
      </w:r>
      <w:r>
        <w:rPr>
          <w:rFonts w:hint="eastAsia" w:ascii="Arial" w:hAnsi="Arial"/>
          <w:color w:val="000000"/>
        </w:rPr>
        <w:t>现金</w:t>
      </w:r>
      <w:r>
        <w:rPr>
          <w:rFonts w:ascii="Arial" w:hAnsi="Arial"/>
          <w:color w:val="000000"/>
        </w:rPr>
        <w:t>或支票。</w:t>
      </w:r>
    </w:p>
    <w:p w14:paraId="6076A430">
      <w:pPr>
        <w:pStyle w:val="12"/>
        <w:numPr>
          <w:ilvl w:val="2"/>
          <w:numId w:val="3"/>
        </w:numPr>
        <w:spacing w:before="156" w:after="156"/>
        <w:ind w:firstLineChars="0"/>
        <w:rPr>
          <w:color w:val="000000"/>
        </w:rPr>
      </w:pPr>
      <w:r>
        <w:rPr>
          <w:rFonts w:ascii="Arial" w:hAnsi="Arial"/>
          <w:color w:val="000000"/>
        </w:rPr>
        <w:t>未按要求</w:t>
      </w:r>
      <w:r>
        <w:rPr>
          <w:rFonts w:hint="eastAsia" w:ascii="Arial" w:hAnsi="Arial"/>
          <w:color w:val="000000"/>
        </w:rPr>
        <w:t>缴纳</w:t>
      </w:r>
      <w:r>
        <w:rPr>
          <w:rFonts w:ascii="Arial" w:hAnsi="Arial"/>
          <w:color w:val="000000"/>
        </w:rPr>
        <w:t>投标保证金的投标将被视为投标无效。</w:t>
      </w:r>
    </w:p>
    <w:p w14:paraId="4675B5C5">
      <w:pPr>
        <w:pStyle w:val="12"/>
        <w:numPr>
          <w:ilvl w:val="1"/>
          <w:numId w:val="3"/>
        </w:numPr>
        <w:spacing w:before="156" w:after="156"/>
        <w:ind w:firstLineChars="0"/>
        <w:rPr>
          <w:color w:val="000000"/>
        </w:rPr>
      </w:pPr>
      <w:r>
        <w:rPr>
          <w:rFonts w:hint="eastAsia"/>
          <w:color w:val="000000"/>
        </w:rPr>
        <w:t>投标人除了提供报价外，如对采购方提出的采购需求有其它建议，可另附建议书，与报价文件一同报给招标方。</w:t>
      </w:r>
    </w:p>
    <w:p w14:paraId="745C123F">
      <w:pPr>
        <w:pStyle w:val="12"/>
        <w:numPr>
          <w:ilvl w:val="1"/>
          <w:numId w:val="3"/>
        </w:numPr>
        <w:spacing w:before="156" w:after="156"/>
        <w:ind w:firstLineChars="0"/>
        <w:rPr>
          <w:color w:val="000000"/>
        </w:rPr>
      </w:pPr>
      <w:r>
        <w:rPr>
          <w:rFonts w:hint="eastAsia"/>
          <w:color w:val="000000"/>
        </w:rPr>
        <w:t>在按投标人提出的整体报价后，所发生的任何涉及该项目的不合理、不完整的问题，均由投标人免费负责解决。</w:t>
      </w:r>
    </w:p>
    <w:p w14:paraId="13BF9B1C">
      <w:pPr>
        <w:pStyle w:val="12"/>
        <w:numPr>
          <w:ilvl w:val="1"/>
          <w:numId w:val="3"/>
        </w:numPr>
        <w:spacing w:before="156" w:after="156"/>
        <w:ind w:firstLineChars="0"/>
        <w:rPr>
          <w:color w:val="000000"/>
        </w:rPr>
      </w:pPr>
      <w:r>
        <w:rPr>
          <w:rFonts w:hint="eastAsia"/>
          <w:color w:val="000000"/>
        </w:rPr>
        <w:t>投标人必须是具有独立承担民事能力的、合法经营资格的中华人民共和国境内注册的企业法人。经营范围包含本次招标采购所包含的货物。</w:t>
      </w:r>
    </w:p>
    <w:p w14:paraId="443F592A">
      <w:pPr>
        <w:pStyle w:val="12"/>
        <w:numPr>
          <w:ilvl w:val="1"/>
          <w:numId w:val="3"/>
        </w:numPr>
        <w:spacing w:before="156" w:after="156"/>
        <w:ind w:firstLineChars="0"/>
        <w:rPr>
          <w:color w:val="000000"/>
        </w:rPr>
      </w:pPr>
      <w:r>
        <w:rPr>
          <w:rFonts w:hint="eastAsia"/>
          <w:color w:val="000000"/>
        </w:rPr>
        <w:t>投标人提供的商品必须符合国家相关的标准。</w:t>
      </w:r>
    </w:p>
    <w:p w14:paraId="4B67AF8F">
      <w:pPr>
        <w:pStyle w:val="12"/>
        <w:numPr>
          <w:ilvl w:val="1"/>
          <w:numId w:val="3"/>
        </w:numPr>
        <w:spacing w:before="156" w:after="156"/>
        <w:ind w:firstLineChars="0"/>
        <w:rPr>
          <w:color w:val="000000"/>
        </w:rPr>
      </w:pPr>
      <w:r>
        <w:rPr>
          <w:rFonts w:hint="eastAsia"/>
          <w:color w:val="000000"/>
        </w:rPr>
        <w:t>投标人必须具有完善的配送能力和售后服务能力。</w:t>
      </w:r>
    </w:p>
    <w:p w14:paraId="6DA12090">
      <w:pPr>
        <w:pStyle w:val="12"/>
        <w:spacing w:before="156" w:after="156"/>
        <w:ind w:firstLine="0" w:firstLineChars="0"/>
        <w:rPr>
          <w:color w:val="000000"/>
        </w:rPr>
      </w:pPr>
    </w:p>
    <w:p w14:paraId="2EE40CE2">
      <w:pPr>
        <w:pStyle w:val="12"/>
        <w:numPr>
          <w:ilvl w:val="0"/>
          <w:numId w:val="2"/>
        </w:numPr>
        <w:spacing w:before="156" w:after="156"/>
        <w:ind w:firstLineChars="0"/>
        <w:rPr>
          <w:color w:val="000000"/>
        </w:rPr>
      </w:pPr>
      <w:r>
        <w:rPr>
          <w:rFonts w:hint="eastAsia"/>
          <w:color w:val="000000"/>
        </w:rPr>
        <w:t>项目内容</w:t>
      </w:r>
    </w:p>
    <w:p w14:paraId="0A2F6F6E">
      <w:pPr>
        <w:pStyle w:val="16"/>
        <w:numPr>
          <w:ilvl w:val="0"/>
          <w:numId w:val="4"/>
        </w:numPr>
        <w:spacing w:before="156" w:after="156"/>
        <w:ind w:firstLineChars="0"/>
        <w:rPr>
          <w:color w:val="000000"/>
        </w:rPr>
      </w:pPr>
      <w:r>
        <w:rPr>
          <w:rFonts w:hint="eastAsia"/>
          <w:color w:val="000000"/>
        </w:rPr>
        <w:t>内容</w:t>
      </w:r>
    </w:p>
    <w:p w14:paraId="7BD8379E">
      <w:pPr>
        <w:pStyle w:val="12"/>
        <w:spacing w:before="156" w:after="156"/>
        <w:ind w:firstLine="916" w:firstLineChars="382"/>
        <w:rPr>
          <w:color w:val="000000"/>
        </w:rPr>
      </w:pPr>
      <w:r>
        <w:rPr>
          <w:rFonts w:hint="eastAsia"/>
          <w:color w:val="000000"/>
        </w:rPr>
        <w:t>本次招标项目的目标是确定</w:t>
      </w:r>
      <w:r>
        <w:rPr>
          <w:rFonts w:hint="eastAsia"/>
          <w:color w:val="000000"/>
          <w:lang w:val="en-US" w:eastAsia="zh-CN"/>
        </w:rPr>
        <w:t>淮南东方医院集团互联网医院系统升级建设</w:t>
      </w:r>
      <w:r>
        <w:rPr>
          <w:rFonts w:hint="eastAsia"/>
          <w:color w:val="000000"/>
        </w:rPr>
        <w:t>。</w:t>
      </w:r>
    </w:p>
    <w:p w14:paraId="74CABD76">
      <w:pPr>
        <w:pStyle w:val="12"/>
        <w:numPr>
          <w:ilvl w:val="0"/>
          <w:numId w:val="4"/>
        </w:numPr>
        <w:spacing w:before="156" w:after="156"/>
        <w:ind w:firstLineChars="0"/>
        <w:rPr>
          <w:color w:val="000000"/>
        </w:rPr>
      </w:pPr>
      <w:r>
        <w:rPr>
          <w:rFonts w:hint="eastAsia"/>
          <w:color w:val="000000"/>
        </w:rPr>
        <w:t>有效时间</w:t>
      </w:r>
    </w:p>
    <w:p w14:paraId="47EDCFB1">
      <w:pPr>
        <w:pStyle w:val="12"/>
        <w:spacing w:before="156" w:after="156"/>
        <w:ind w:firstLine="916" w:firstLineChars="382"/>
        <w:rPr>
          <w:color w:val="000000"/>
        </w:rPr>
      </w:pPr>
      <w:r>
        <w:rPr>
          <w:rFonts w:hint="eastAsia"/>
          <w:color w:val="000000"/>
        </w:rPr>
        <w:t>（具体期限以合同为准）。</w:t>
      </w:r>
    </w:p>
    <w:p w14:paraId="782FC924">
      <w:pPr>
        <w:pStyle w:val="16"/>
        <w:numPr>
          <w:ilvl w:val="0"/>
          <w:numId w:val="4"/>
        </w:numPr>
        <w:spacing w:before="156" w:after="156"/>
        <w:ind w:firstLineChars="0"/>
        <w:rPr>
          <w:color w:val="000000"/>
        </w:rPr>
      </w:pPr>
      <w:r>
        <w:rPr>
          <w:rFonts w:hint="eastAsia"/>
          <w:color w:val="000000"/>
        </w:rPr>
        <w:t>系统要求：</w:t>
      </w:r>
    </w:p>
    <w:p w14:paraId="14304931">
      <w:pPr>
        <w:pStyle w:val="12"/>
        <w:spacing w:before="156" w:after="156"/>
        <w:ind w:left="720" w:firstLine="0" w:firstLineChars="0"/>
        <w:rPr>
          <w:rFonts w:hint="eastAsia"/>
          <w:color w:val="000000"/>
          <w:lang w:val="en-US" w:eastAsia="zh-CN"/>
        </w:rPr>
      </w:pPr>
      <w:r>
        <w:rPr>
          <w:rFonts w:hint="eastAsia"/>
          <w:color w:val="000000"/>
          <w:lang w:val="en-US" w:eastAsia="zh-CN"/>
        </w:rPr>
        <w:t>1、每家医院均建设线上预约挂号、缴费模式支持线上缴费，为患者提供多重选择。</w:t>
      </w:r>
    </w:p>
    <w:p w14:paraId="4410FC31">
      <w:pPr>
        <w:pStyle w:val="12"/>
        <w:spacing w:before="156" w:after="156"/>
        <w:ind w:left="720" w:firstLine="0" w:firstLineChars="0"/>
        <w:rPr>
          <w:rFonts w:hint="default"/>
          <w:color w:val="000000"/>
          <w:lang w:val="en-US" w:eastAsia="zh-CN"/>
        </w:rPr>
      </w:pPr>
      <w:r>
        <w:rPr>
          <w:rFonts w:hint="eastAsia"/>
          <w:color w:val="000000"/>
          <w:lang w:val="en-US" w:eastAsia="zh-CN"/>
        </w:rPr>
        <w:t>2、新系统建设范围：淮南东方医院集团总医院互联网医院包括线下门诊住院相关挂缴查（已持牌）、淮南东方医院集团肿瘤医院（线下挂缴查无互联网医院）、淮南东方医院集团凤凰医院（线下挂缴查无互联网医院）、淮南东方医院集团广济医院（线下挂缴查无互联网医院）、淮南东方医院集团新庄孜医院（线下挂缴查无互联网医院）。</w:t>
      </w:r>
    </w:p>
    <w:p w14:paraId="18B99304">
      <w:pPr>
        <w:pStyle w:val="12"/>
        <w:spacing w:before="156" w:after="156"/>
        <w:ind w:left="720" w:firstLine="0" w:firstLineChars="0"/>
        <w:rPr>
          <w:rFonts w:hint="default"/>
          <w:color w:val="000000"/>
          <w:lang w:val="en-US" w:eastAsia="zh-CN"/>
        </w:rPr>
      </w:pPr>
      <w:r>
        <w:rPr>
          <w:rFonts w:hint="eastAsia"/>
          <w:color w:val="000000"/>
          <w:lang w:val="en-US" w:eastAsia="zh-CN"/>
        </w:rPr>
        <w:t>3、为患者提供便捷的医疗服务，如在线挂号、在线缴费、检验检查报告查看、数字影像查看、押金缴费、医保移动支付、自助医技预约、病案邮寄、轮椅租赁（获取患者信息收取押金，待轮椅归还后返还）等功能。慢病开药，自助开单（</w:t>
      </w:r>
      <w:r>
        <w:rPr>
          <w:rFonts w:hint="eastAsia"/>
          <w:lang w:val="en-US" w:eastAsia="zh-CN"/>
        </w:rPr>
        <w:t>对接医院现有预约平台对接</w:t>
      </w:r>
      <w:r>
        <w:rPr>
          <w:rFonts w:hint="eastAsia"/>
          <w:color w:val="000000"/>
          <w:lang w:val="en-US" w:eastAsia="zh-CN"/>
        </w:rPr>
        <w:t>），退费，退号，评价打分，老年模式，电子发票，医保一码支付，医保信用支付，患者知情同意书CA,患者服务web端（含挂缴查），功能需要满足智慧服务评级三级和安徽省互联网诊疗管理质控中心关于《安徽省互联网医院管理办法(试行)》要求。</w:t>
      </w:r>
    </w:p>
    <w:p w14:paraId="2C54DE26">
      <w:pPr>
        <w:pStyle w:val="12"/>
        <w:spacing w:before="156" w:after="156"/>
        <w:ind w:left="720" w:firstLine="0" w:firstLineChars="0"/>
        <w:rPr>
          <w:rFonts w:hint="eastAsia"/>
          <w:color w:val="000000"/>
          <w:lang w:val="en-US" w:eastAsia="zh-CN"/>
        </w:rPr>
      </w:pPr>
      <w:r>
        <w:rPr>
          <w:rFonts w:hint="eastAsia"/>
          <w:color w:val="000000"/>
          <w:lang w:val="en-US" w:eastAsia="zh-CN"/>
        </w:rPr>
        <w:t>4、</w:t>
      </w:r>
      <w:r>
        <w:rPr>
          <w:rFonts w:hint="eastAsia"/>
          <w:color w:val="FF0000"/>
          <w:lang w:val="en-US" w:eastAsia="zh-CN"/>
        </w:rPr>
        <w:t>小程序</w:t>
      </w:r>
      <w:r>
        <w:rPr>
          <w:rFonts w:hint="eastAsia"/>
          <w:color w:val="000000"/>
          <w:lang w:val="en-US" w:eastAsia="zh-CN"/>
        </w:rPr>
        <w:t>集成医院新的银行聚合支付系统，完善细化现有的互联网医院订单管理界面，增加报表类数据查看。</w:t>
      </w:r>
    </w:p>
    <w:p w14:paraId="57BC0D30">
      <w:pPr>
        <w:pStyle w:val="12"/>
        <w:spacing w:before="156" w:after="156"/>
        <w:ind w:left="720" w:firstLine="0" w:firstLineChars="0"/>
        <w:rPr>
          <w:rFonts w:hint="eastAsia"/>
          <w:color w:val="000000"/>
          <w:lang w:val="en-US" w:eastAsia="zh-CN"/>
        </w:rPr>
      </w:pPr>
      <w:r>
        <w:rPr>
          <w:rFonts w:hint="eastAsia"/>
          <w:color w:val="000000"/>
          <w:lang w:val="en-US" w:eastAsia="zh-CN"/>
        </w:rPr>
        <w:t>5、健康指导-高级会员功能，支持会员购买、VIP消息提醒。</w:t>
      </w:r>
    </w:p>
    <w:p w14:paraId="592FCD06">
      <w:pPr>
        <w:pStyle w:val="12"/>
        <w:spacing w:before="156" w:after="156"/>
        <w:ind w:left="720" w:firstLine="0" w:firstLineChars="0"/>
        <w:rPr>
          <w:rFonts w:hint="eastAsia"/>
          <w:color w:val="000000"/>
          <w:lang w:val="en-US" w:eastAsia="zh-CN"/>
        </w:rPr>
      </w:pPr>
      <w:r>
        <w:rPr>
          <w:rFonts w:hint="eastAsia"/>
          <w:color w:val="000000"/>
          <w:lang w:val="en-US" w:eastAsia="zh-CN"/>
        </w:rPr>
        <w:t>6、要与互联网医院互通，实现问诊，处方，结算，送药上门，上门服务，检查预约等一系列服务。药品库存（发药有标记）</w:t>
      </w:r>
      <w:r>
        <w:rPr>
          <w:rFonts w:hint="eastAsia"/>
          <w:lang w:val="en-US" w:eastAsia="zh-CN"/>
        </w:rPr>
        <w:t>与线下药房同步联动</w:t>
      </w:r>
      <w:r>
        <w:rPr>
          <w:rFonts w:hint="eastAsia"/>
          <w:color w:val="000000"/>
          <w:lang w:val="en-US" w:eastAsia="zh-CN"/>
        </w:rPr>
        <w:t>，处方和病历要回写his，与省卫健委互联网医院监管平台打通，推送电子处方给省平台。</w:t>
      </w:r>
    </w:p>
    <w:p w14:paraId="2D6DF71F">
      <w:pPr>
        <w:pStyle w:val="12"/>
        <w:spacing w:before="156" w:after="156"/>
        <w:ind w:left="720" w:firstLine="0" w:firstLineChars="0"/>
        <w:rPr>
          <w:rFonts w:hint="eastAsia"/>
          <w:color w:val="000000"/>
          <w:lang w:val="en-US" w:eastAsia="zh-CN"/>
        </w:rPr>
      </w:pPr>
      <w:r>
        <w:rPr>
          <w:rFonts w:hint="eastAsia"/>
          <w:color w:val="000000"/>
          <w:lang w:val="en-US" w:eastAsia="zh-CN"/>
        </w:rPr>
        <w:t>7、简化操作，采用交互方式实现患者业务全覆盖，真正成为患者/患者身边医疗健康管家及医疗服务平台。患者在线申请医生可以帮患者免费做慢病辅助申报</w:t>
      </w:r>
      <w:r>
        <w:rPr>
          <w:rFonts w:hint="eastAsia"/>
          <w:lang w:eastAsia="zh-CN"/>
        </w:rPr>
        <w:t>，</w:t>
      </w:r>
      <w:r>
        <w:rPr>
          <w:rFonts w:hint="eastAsia"/>
          <w:lang w:val="en-US" w:eastAsia="zh-CN"/>
        </w:rPr>
        <w:t>五家分院可集成在总院医护APP</w:t>
      </w:r>
      <w:r>
        <w:rPr>
          <w:rFonts w:hint="eastAsia"/>
          <w:color w:val="000000"/>
          <w:lang w:val="en-US" w:eastAsia="zh-CN"/>
        </w:rPr>
        <w:t>。</w:t>
      </w:r>
    </w:p>
    <w:p w14:paraId="178E3E1E">
      <w:pPr>
        <w:pStyle w:val="12"/>
        <w:spacing w:before="156" w:after="156"/>
        <w:ind w:left="720" w:firstLine="0" w:firstLineChars="0"/>
        <w:rPr>
          <w:rFonts w:hint="eastAsia"/>
          <w:color w:val="000000"/>
          <w:lang w:val="en-US" w:eastAsia="zh-CN"/>
        </w:rPr>
      </w:pPr>
      <w:r>
        <w:rPr>
          <w:rFonts w:hint="eastAsia"/>
          <w:color w:val="000000"/>
          <w:lang w:val="en-US" w:eastAsia="zh-CN"/>
        </w:rPr>
        <w:t>8、严格对标国家医保局最新建设标准，升级和完善互联网医院在线医保支付功能。</w:t>
      </w:r>
    </w:p>
    <w:p w14:paraId="272BCCA8">
      <w:pPr>
        <w:pStyle w:val="12"/>
        <w:spacing w:before="156" w:after="156"/>
        <w:ind w:left="720" w:firstLine="0" w:firstLineChars="0"/>
        <w:rPr>
          <w:rFonts w:hint="eastAsia"/>
          <w:color w:val="000000"/>
          <w:lang w:val="en-US" w:eastAsia="zh-CN"/>
        </w:rPr>
      </w:pPr>
      <w:r>
        <w:rPr>
          <w:rFonts w:hint="eastAsia"/>
          <w:color w:val="000000"/>
          <w:lang w:val="en-US" w:eastAsia="zh-CN"/>
        </w:rPr>
        <w:t>9、建设住院在线服务，实现包括但不限于手机入院登记、出院结算（仅自费）、住院押金在线支付、住院每日清单在线查看、手术提醒、出院小结、健康宣教（</w:t>
      </w:r>
      <w:r>
        <w:rPr>
          <w:rFonts w:hint="eastAsia"/>
          <w:lang w:val="en-US" w:eastAsia="zh-CN"/>
        </w:rPr>
        <w:t>出院时推送与之病种相关的宣教</w:t>
      </w:r>
      <w:r>
        <w:rPr>
          <w:rFonts w:hint="eastAsia"/>
          <w:color w:val="000000"/>
          <w:lang w:val="en-US" w:eastAsia="zh-CN"/>
        </w:rPr>
        <w:t>）等功能。</w:t>
      </w:r>
    </w:p>
    <w:p w14:paraId="76DC7488">
      <w:pPr>
        <w:pStyle w:val="12"/>
        <w:spacing w:before="156" w:after="156"/>
        <w:ind w:left="720" w:firstLine="0" w:firstLineChars="0"/>
        <w:rPr>
          <w:rFonts w:hint="eastAsia"/>
          <w:color w:val="000000"/>
          <w:lang w:val="en-US" w:eastAsia="zh-CN"/>
        </w:rPr>
      </w:pPr>
      <w:r>
        <w:rPr>
          <w:rFonts w:hint="eastAsia"/>
          <w:color w:val="000000"/>
          <w:lang w:val="en-US" w:eastAsia="zh-CN"/>
        </w:rPr>
        <w:t>10、总院医生为集团旗下连锁药房开具电子处方，处方流转至药房，患者在线问诊后，处方上报省平台，药房核实处方后，线下刷医保结算。（非本集团药店按二维码开单次数进行计费，充值扣费）。</w:t>
      </w:r>
    </w:p>
    <w:p w14:paraId="248DAFF9">
      <w:pPr>
        <w:pStyle w:val="12"/>
        <w:spacing w:before="156" w:after="156"/>
        <w:ind w:left="720" w:firstLine="0" w:firstLineChars="0"/>
        <w:rPr>
          <w:rFonts w:hint="eastAsia"/>
          <w:color w:val="000000"/>
          <w:lang w:val="en-US" w:eastAsia="zh-CN"/>
        </w:rPr>
      </w:pPr>
      <w:r>
        <w:rPr>
          <w:rFonts w:hint="eastAsia"/>
          <w:color w:val="000000"/>
          <w:lang w:val="en-US" w:eastAsia="zh-CN"/>
        </w:rPr>
        <w:t>11、患者心理评估，配置一下医院已购买的患者心理评估量表，患者可以在线上自评，保留自评数据，供医生参考。用于给我院患者提供健康心理自测和健康宣教。</w:t>
      </w:r>
    </w:p>
    <w:p w14:paraId="2F942100">
      <w:pPr>
        <w:pStyle w:val="12"/>
        <w:spacing w:before="156" w:after="156"/>
        <w:ind w:left="720" w:firstLine="0" w:firstLineChars="0"/>
        <w:rPr>
          <w:rFonts w:hint="eastAsia"/>
          <w:color w:val="000000"/>
          <w:lang w:val="en-US" w:eastAsia="zh-CN"/>
        </w:rPr>
      </w:pPr>
      <w:r>
        <w:rPr>
          <w:rFonts w:hint="eastAsia"/>
          <w:color w:val="000000"/>
          <w:lang w:val="en-US" w:eastAsia="zh-CN"/>
        </w:rPr>
        <w:t>12、对接医院慢病随访登记管理系统，使其嵌入我院互联网医院中，提供接口给随访系统进行消息推送。</w:t>
      </w:r>
    </w:p>
    <w:p w14:paraId="4D5F4422">
      <w:pPr>
        <w:pStyle w:val="12"/>
        <w:spacing w:before="156" w:after="156"/>
        <w:ind w:left="720" w:firstLine="0" w:firstLineChars="0"/>
        <w:rPr>
          <w:rFonts w:hint="eastAsia"/>
          <w:color w:val="000000"/>
          <w:lang w:val="en-US" w:eastAsia="zh-CN"/>
        </w:rPr>
      </w:pPr>
      <w:r>
        <w:rPr>
          <w:rFonts w:hint="eastAsia"/>
          <w:color w:val="000000"/>
          <w:lang w:val="en-US" w:eastAsia="zh-CN"/>
        </w:rPr>
        <w:t>13、对接现有满意度调查系统（投诉）。</w:t>
      </w:r>
    </w:p>
    <w:p w14:paraId="4549E42D">
      <w:pPr>
        <w:pStyle w:val="12"/>
        <w:spacing w:before="156" w:after="156"/>
        <w:ind w:left="720" w:firstLine="0" w:firstLineChars="0"/>
        <w:rPr>
          <w:rFonts w:hint="eastAsia"/>
          <w:color w:val="000000"/>
          <w:lang w:val="en-US" w:eastAsia="zh-CN"/>
        </w:rPr>
      </w:pPr>
      <w:r>
        <w:rPr>
          <w:rFonts w:hint="eastAsia"/>
          <w:color w:val="000000"/>
          <w:lang w:val="en-US" w:eastAsia="zh-CN"/>
        </w:rPr>
        <w:t>14、消息推送，对来院患者各个诊疗流程有辅助消息推送，如：排队队列、慢病用药推送、检查报告状态、门诊流程就诊地址指导等。</w:t>
      </w:r>
      <w:r>
        <w:rPr>
          <w:rFonts w:hint="eastAsia"/>
          <w:color w:val="000000"/>
          <w:lang w:val="en-US" w:eastAsia="zh-CN"/>
        </w:rPr>
        <w:br w:type="textWrapping"/>
      </w:r>
      <w:r>
        <w:rPr>
          <w:rFonts w:hint="eastAsia"/>
          <w:color w:val="000000"/>
          <w:lang w:val="en-US" w:eastAsia="zh-CN"/>
        </w:rPr>
        <w:t>15、AI导诊</w:t>
      </w:r>
    </w:p>
    <w:p w14:paraId="3A25ACFB">
      <w:pPr>
        <w:pStyle w:val="12"/>
        <w:spacing w:before="156" w:after="156"/>
        <w:ind w:left="720" w:firstLine="0" w:firstLineChars="0"/>
        <w:rPr>
          <w:rFonts w:hint="eastAsia"/>
          <w:color w:val="000000"/>
          <w:lang w:val="en-US" w:eastAsia="zh-CN"/>
        </w:rPr>
      </w:pPr>
      <w:r>
        <w:rPr>
          <w:rFonts w:hint="eastAsia"/>
          <w:color w:val="000000"/>
          <w:lang w:val="en-US" w:eastAsia="zh-CN"/>
        </w:rPr>
        <w:t>16、患者360数据中心</w:t>
      </w:r>
    </w:p>
    <w:p w14:paraId="556F5861">
      <w:pPr>
        <w:pStyle w:val="12"/>
        <w:spacing w:before="156" w:after="156"/>
        <w:ind w:left="720" w:firstLine="0" w:firstLineChars="0"/>
        <w:rPr>
          <w:rFonts w:hint="eastAsia"/>
          <w:color w:val="FF0000"/>
          <w:lang w:val="en-US" w:eastAsia="zh-CN"/>
        </w:rPr>
      </w:pPr>
      <w:r>
        <w:rPr>
          <w:rFonts w:hint="eastAsia"/>
          <w:color w:val="FF0000"/>
          <w:lang w:val="en-US" w:eastAsia="zh-CN"/>
        </w:rPr>
        <w:t>17、线上护理服务、包括患者下单，护理管理人员接单、派单，护士上门确认，完成，患者评价等功能</w:t>
      </w:r>
    </w:p>
    <w:p w14:paraId="09E73EF8">
      <w:pPr>
        <w:pStyle w:val="12"/>
        <w:spacing w:before="156" w:after="156"/>
        <w:ind w:left="720" w:firstLine="0" w:firstLineChars="0"/>
        <w:rPr>
          <w:rFonts w:hint="default"/>
          <w:color w:val="FF0000"/>
          <w:lang w:val="en-US" w:eastAsia="zh-CN"/>
        </w:rPr>
      </w:pPr>
      <w:r>
        <w:rPr>
          <w:rFonts w:hint="eastAsia"/>
          <w:color w:val="000000"/>
          <w:lang w:val="en-US" w:eastAsia="zh-CN"/>
        </w:rPr>
        <w:t>18、互联网医院添加患者对医生的诊后满意度评价。</w:t>
      </w:r>
    </w:p>
    <w:p w14:paraId="1AE29638">
      <w:pPr>
        <w:pStyle w:val="12"/>
        <w:spacing w:before="156" w:after="156"/>
        <w:ind w:left="720" w:firstLine="0" w:firstLineChars="0"/>
        <w:rPr>
          <w:rFonts w:hint="eastAsia"/>
          <w:color w:val="000000"/>
          <w:lang w:val="en-US" w:eastAsia="zh-CN"/>
        </w:rPr>
      </w:pPr>
    </w:p>
    <w:p w14:paraId="3DE58E51">
      <w:pPr>
        <w:pStyle w:val="12"/>
        <w:spacing w:before="156" w:after="156"/>
        <w:ind w:left="720" w:firstLine="0" w:firstLineChars="0"/>
        <w:rPr>
          <w:rFonts w:hint="eastAsia"/>
          <w:color w:val="000000"/>
          <w:lang w:val="en-US" w:eastAsia="zh-CN"/>
        </w:rPr>
      </w:pPr>
      <w:r>
        <w:rPr>
          <w:rFonts w:hint="eastAsia"/>
          <w:color w:val="000000"/>
          <w:lang w:val="en-US" w:eastAsia="zh-CN"/>
        </w:rPr>
        <w:t>技术要求：</w:t>
      </w:r>
    </w:p>
    <w:p w14:paraId="613E6943">
      <w:pPr>
        <w:pStyle w:val="12"/>
        <w:spacing w:before="156" w:after="156"/>
        <w:ind w:left="720" w:firstLine="0" w:firstLineChars="0"/>
        <w:rPr>
          <w:rFonts w:hint="eastAsia"/>
          <w:color w:val="000000"/>
          <w:lang w:val="en-US" w:eastAsia="zh-CN"/>
        </w:rPr>
      </w:pPr>
      <w:r>
        <w:rPr>
          <w:rFonts w:hint="eastAsia"/>
          <w:color w:val="000000"/>
          <w:lang w:val="en-US" w:eastAsia="zh-CN"/>
        </w:rPr>
        <w:t>1、淮南东方医院集团互联网医院系统依托腾讯微信小程序建设多机构版微信小程序考虑各个机构收款银行商户主体不一致需要申请多个机构微信小程序，各个小程序可以选择不同医院切换。</w:t>
      </w:r>
    </w:p>
    <w:p w14:paraId="44206F7B">
      <w:pPr>
        <w:pStyle w:val="12"/>
        <w:spacing w:before="156" w:after="156"/>
        <w:ind w:left="720" w:firstLine="0" w:firstLineChars="0"/>
        <w:rPr>
          <w:rFonts w:hint="eastAsia"/>
          <w:color w:val="000000"/>
          <w:lang w:val="en-US" w:eastAsia="zh-CN"/>
        </w:rPr>
      </w:pPr>
      <w:r>
        <w:rPr>
          <w:rFonts w:hint="eastAsia"/>
          <w:color w:val="000000"/>
          <w:lang w:val="en-US" w:eastAsia="zh-CN"/>
        </w:rPr>
        <w:t>2、淮南东方医院集团互联网医院系统需要有：患者小程序端（微信小程序）、医生端（APP和PC）、审方药师端（APP和PC）、集团连锁药房端、病案寄送端（APP和PC）、护理端（APP和PC）</w:t>
      </w:r>
    </w:p>
    <w:p w14:paraId="037CAAEE">
      <w:pPr>
        <w:pStyle w:val="12"/>
        <w:spacing w:before="156" w:after="156"/>
        <w:ind w:left="720" w:firstLine="0" w:firstLineChars="0"/>
        <w:rPr>
          <w:rFonts w:hint="eastAsia"/>
          <w:color w:val="000000"/>
          <w:lang w:val="en-US" w:eastAsia="zh-CN"/>
        </w:rPr>
      </w:pPr>
      <w:r>
        <w:rPr>
          <w:rFonts w:hint="eastAsia"/>
          <w:color w:val="000000"/>
          <w:lang w:val="en-US" w:eastAsia="zh-CN"/>
        </w:rPr>
        <w:t>3、互联网医院需要对接本集团患者一卡通，患者能够自助维护本人及亲属相关个人信息，并及时同步信息志一卡通卡池</w:t>
      </w:r>
    </w:p>
    <w:p w14:paraId="1DA3E443">
      <w:pPr>
        <w:pStyle w:val="12"/>
        <w:spacing w:before="156" w:after="156"/>
        <w:ind w:left="720" w:firstLine="0" w:firstLineChars="0"/>
        <w:rPr>
          <w:rFonts w:hint="eastAsia"/>
          <w:color w:val="000000"/>
          <w:lang w:val="en-US" w:eastAsia="zh-CN"/>
        </w:rPr>
      </w:pPr>
      <w:r>
        <w:rPr>
          <w:rFonts w:hint="eastAsia"/>
          <w:color w:val="000000"/>
          <w:lang w:val="en-US" w:eastAsia="zh-CN"/>
        </w:rPr>
        <w:t>4、互联网医院需要深度对接电子病历系统，药房库存、线上医生处方、线上门诊病历能够及时回传医院HIS+EMR系统</w:t>
      </w:r>
    </w:p>
    <w:p w14:paraId="60B16EA9">
      <w:pPr>
        <w:pStyle w:val="12"/>
        <w:spacing w:before="156" w:after="156"/>
        <w:ind w:left="720" w:firstLine="0" w:firstLineChars="0"/>
        <w:rPr>
          <w:rFonts w:hint="eastAsia"/>
          <w:color w:val="000000"/>
          <w:lang w:val="en-US" w:eastAsia="zh-CN"/>
        </w:rPr>
      </w:pPr>
      <w:r>
        <w:rPr>
          <w:rFonts w:hint="eastAsia"/>
          <w:color w:val="000000"/>
          <w:lang w:val="en-US" w:eastAsia="zh-CN"/>
        </w:rPr>
        <w:t xml:space="preserve">5、互联网医院需要对接医护药技和患者CA签名，满足工业和信息化部发布的《关于做好电子认证业务规则相关工作的通知》（工信发函〔2026〕181号）要求，以及行业主管部门发布的T/CQAE11034-2025《电子认证业务规则规范》 </w:t>
      </w:r>
    </w:p>
    <w:p w14:paraId="0E188A65">
      <w:pPr>
        <w:pStyle w:val="16"/>
        <w:spacing w:before="156" w:after="156"/>
        <w:ind w:left="480" w:firstLine="0" w:firstLineChars="0"/>
        <w:rPr>
          <w:color w:val="000000"/>
        </w:rPr>
      </w:pPr>
    </w:p>
    <w:p w14:paraId="0B91BB4C">
      <w:pPr>
        <w:pStyle w:val="12"/>
        <w:numPr>
          <w:ilvl w:val="0"/>
          <w:numId w:val="2"/>
        </w:numPr>
        <w:spacing w:before="156" w:after="156"/>
        <w:ind w:firstLineChars="0"/>
        <w:rPr>
          <w:color w:val="000000"/>
        </w:rPr>
      </w:pPr>
      <w:r>
        <w:rPr>
          <w:rFonts w:hint="eastAsia"/>
          <w:color w:val="000000"/>
        </w:rPr>
        <w:t>关于投标文件</w:t>
      </w:r>
    </w:p>
    <w:p w14:paraId="61763858">
      <w:pPr>
        <w:pStyle w:val="16"/>
        <w:numPr>
          <w:ilvl w:val="0"/>
          <w:numId w:val="5"/>
        </w:numPr>
        <w:spacing w:before="156" w:after="156"/>
        <w:ind w:firstLineChars="0"/>
        <w:rPr>
          <w:color w:val="000000"/>
        </w:rPr>
      </w:pPr>
      <w:r>
        <w:rPr>
          <w:rFonts w:hint="eastAsia"/>
          <w:color w:val="000000"/>
        </w:rPr>
        <w:t>请投标方在投标文件中如实答复下例条款：</w:t>
      </w:r>
    </w:p>
    <w:p w14:paraId="3F158405">
      <w:pPr>
        <w:pStyle w:val="12"/>
        <w:numPr>
          <w:ilvl w:val="0"/>
          <w:numId w:val="6"/>
        </w:numPr>
        <w:spacing w:before="156" w:after="156"/>
        <w:ind w:firstLineChars="0"/>
        <w:rPr>
          <w:color w:val="000000"/>
        </w:rPr>
      </w:pPr>
      <w:r>
        <w:rPr>
          <w:rFonts w:hint="eastAsia"/>
          <w:color w:val="000000"/>
        </w:rPr>
        <w:t>公司简介（代理品牌，成立时间）</w:t>
      </w:r>
    </w:p>
    <w:p w14:paraId="6F9AB4E2">
      <w:pPr>
        <w:pStyle w:val="12"/>
        <w:numPr>
          <w:ilvl w:val="0"/>
          <w:numId w:val="6"/>
        </w:numPr>
        <w:spacing w:before="156" w:after="156"/>
        <w:ind w:firstLineChars="0"/>
        <w:rPr>
          <w:color w:val="000000"/>
        </w:rPr>
      </w:pPr>
      <w:r>
        <w:rPr>
          <w:rFonts w:hint="eastAsia"/>
          <w:color w:val="000000"/>
        </w:rPr>
        <w:t>公司近三年的业绩情况（经营规模、近一年内中标医院、年销售额）</w:t>
      </w:r>
    </w:p>
    <w:p w14:paraId="2A5750F1">
      <w:pPr>
        <w:pStyle w:val="12"/>
        <w:numPr>
          <w:ilvl w:val="0"/>
          <w:numId w:val="6"/>
        </w:numPr>
        <w:spacing w:before="156" w:after="156"/>
        <w:ind w:firstLineChars="0"/>
        <w:rPr>
          <w:color w:val="000000"/>
        </w:rPr>
      </w:pPr>
      <w:r>
        <w:rPr>
          <w:rFonts w:hint="eastAsia"/>
          <w:color w:val="000000"/>
        </w:rPr>
        <w:t>公司的资信等级等。</w:t>
      </w:r>
    </w:p>
    <w:p w14:paraId="3B2930EA">
      <w:pPr>
        <w:pStyle w:val="16"/>
        <w:numPr>
          <w:ilvl w:val="0"/>
          <w:numId w:val="5"/>
        </w:numPr>
        <w:spacing w:before="156" w:after="156"/>
        <w:ind w:firstLineChars="0"/>
        <w:rPr>
          <w:color w:val="000000"/>
        </w:rPr>
      </w:pPr>
      <w:r>
        <w:rPr>
          <w:rFonts w:hint="eastAsia"/>
          <w:color w:val="000000"/>
        </w:rPr>
        <w:t>投标文件中须附带的证件：</w:t>
      </w:r>
    </w:p>
    <w:p w14:paraId="07034B1B">
      <w:pPr>
        <w:pStyle w:val="12"/>
        <w:numPr>
          <w:ilvl w:val="1"/>
          <w:numId w:val="5"/>
        </w:numPr>
        <w:spacing w:before="156" w:after="156"/>
        <w:ind w:firstLineChars="0"/>
        <w:rPr>
          <w:color w:val="000000"/>
        </w:rPr>
      </w:pPr>
      <w:r>
        <w:rPr>
          <w:rFonts w:hint="eastAsia"/>
          <w:color w:val="000000"/>
        </w:rPr>
        <w:t>企业法人营业执照</w:t>
      </w:r>
    </w:p>
    <w:p w14:paraId="204FD895">
      <w:pPr>
        <w:pStyle w:val="12"/>
        <w:numPr>
          <w:ilvl w:val="1"/>
          <w:numId w:val="5"/>
        </w:numPr>
        <w:spacing w:before="156" w:after="156"/>
        <w:ind w:firstLineChars="0"/>
        <w:rPr>
          <w:color w:val="000000"/>
        </w:rPr>
      </w:pPr>
      <w:r>
        <w:rPr>
          <w:rFonts w:hint="eastAsia"/>
          <w:color w:val="000000"/>
        </w:rPr>
        <w:t>税务登记证</w:t>
      </w:r>
    </w:p>
    <w:p w14:paraId="61D2D9B1">
      <w:pPr>
        <w:pStyle w:val="12"/>
        <w:numPr>
          <w:ilvl w:val="1"/>
          <w:numId w:val="5"/>
        </w:numPr>
        <w:spacing w:before="156" w:after="156"/>
        <w:ind w:firstLineChars="0"/>
        <w:rPr>
          <w:color w:val="000000"/>
        </w:rPr>
      </w:pPr>
      <w:r>
        <w:rPr>
          <w:rFonts w:hint="eastAsia"/>
          <w:color w:val="000000"/>
        </w:rPr>
        <w:t>尽可能多地提供代理许可证（代理授权函）</w:t>
      </w:r>
    </w:p>
    <w:p w14:paraId="222BD9ED">
      <w:pPr>
        <w:pStyle w:val="12"/>
        <w:numPr>
          <w:ilvl w:val="1"/>
          <w:numId w:val="5"/>
        </w:numPr>
        <w:spacing w:before="156" w:after="156"/>
        <w:ind w:firstLineChars="0"/>
        <w:rPr>
          <w:color w:val="000000"/>
        </w:rPr>
      </w:pPr>
      <w:r>
        <w:rPr>
          <w:rFonts w:hint="eastAsia"/>
          <w:color w:val="000000"/>
        </w:rPr>
        <w:t>产品质量保证及售后服务承诺书</w:t>
      </w:r>
    </w:p>
    <w:p w14:paraId="5D711490">
      <w:pPr>
        <w:pStyle w:val="12"/>
        <w:numPr>
          <w:ilvl w:val="1"/>
          <w:numId w:val="5"/>
        </w:numPr>
        <w:spacing w:before="156" w:after="156"/>
        <w:ind w:firstLineChars="0"/>
        <w:rPr>
          <w:color w:val="000000"/>
        </w:rPr>
      </w:pPr>
      <w:r>
        <w:rPr>
          <w:rFonts w:hint="eastAsia"/>
          <w:color w:val="000000"/>
        </w:rPr>
        <w:t>法人授权书（原件）</w:t>
      </w:r>
    </w:p>
    <w:p w14:paraId="53ED07F1">
      <w:pPr>
        <w:pStyle w:val="16"/>
        <w:numPr>
          <w:ilvl w:val="0"/>
          <w:numId w:val="5"/>
        </w:numPr>
        <w:spacing w:before="156" w:after="156"/>
        <w:ind w:firstLineChars="0"/>
        <w:rPr>
          <w:color w:val="000000"/>
        </w:rPr>
      </w:pPr>
      <w:r>
        <w:rPr>
          <w:rFonts w:hint="eastAsia"/>
          <w:color w:val="000000"/>
        </w:rPr>
        <w:t>投标文件的密封与标记：</w:t>
      </w:r>
    </w:p>
    <w:p w14:paraId="6A03F333">
      <w:pPr>
        <w:pStyle w:val="12"/>
        <w:numPr>
          <w:ilvl w:val="0"/>
          <w:numId w:val="7"/>
        </w:numPr>
        <w:spacing w:before="156" w:after="156"/>
        <w:ind w:firstLineChars="0"/>
        <w:rPr>
          <w:color w:val="000000"/>
        </w:rPr>
      </w:pPr>
      <w:r>
        <w:rPr>
          <w:rFonts w:hint="eastAsia"/>
          <w:color w:val="000000"/>
        </w:rPr>
        <w:t>投标文件一式四份（一份正本，三份副本），投标方应将投文件分别密封，并在封口处加盖投标方单位的公章，在投标文件封皮明显处注明如下信息：</w:t>
      </w:r>
    </w:p>
    <w:p w14:paraId="7CF5C2D5">
      <w:pPr>
        <w:pStyle w:val="12"/>
        <w:spacing w:before="156" w:after="156"/>
        <w:ind w:left="630" w:leftChars="300" w:firstLine="480"/>
        <w:rPr>
          <w:color w:val="000000"/>
        </w:rPr>
      </w:pPr>
      <w:r>
        <w:rPr>
          <w:rFonts w:hint="eastAsia"/>
          <w:color w:val="000000"/>
        </w:rPr>
        <w:t>招标人：淮南东方医院集团</w:t>
      </w:r>
    </w:p>
    <w:p w14:paraId="6467FE5A">
      <w:pPr>
        <w:pStyle w:val="12"/>
        <w:spacing w:before="156" w:after="156"/>
        <w:ind w:left="630" w:leftChars="300" w:firstLine="480"/>
        <w:rPr>
          <w:rFonts w:hint="eastAsia" w:eastAsia="宋体"/>
          <w:color w:val="000000"/>
          <w:lang w:eastAsia="zh-CN"/>
        </w:rPr>
      </w:pPr>
      <w:r>
        <w:rPr>
          <w:rFonts w:hint="eastAsia"/>
          <w:color w:val="000000"/>
        </w:rPr>
        <w:t>招标项目名称：</w:t>
      </w:r>
      <w:r>
        <w:rPr>
          <w:rFonts w:hint="eastAsia"/>
          <w:color w:val="000000"/>
          <w:lang w:eastAsia="zh-CN"/>
        </w:rPr>
        <w:t>淮南东方医院集团互联网医院系统升级建设</w:t>
      </w:r>
    </w:p>
    <w:p w14:paraId="3CCDB66D">
      <w:pPr>
        <w:pStyle w:val="12"/>
        <w:spacing w:before="156" w:after="156"/>
        <w:ind w:left="630" w:leftChars="300" w:firstLine="480"/>
        <w:rPr>
          <w:color w:val="000000"/>
        </w:rPr>
      </w:pPr>
      <w:r>
        <w:rPr>
          <w:rFonts w:hint="eastAsia"/>
          <w:color w:val="000000"/>
        </w:rPr>
        <w:t>投标方的名称（加盖公章）、地址、电话、并说明“开标明启封”的字样。</w:t>
      </w:r>
    </w:p>
    <w:p w14:paraId="25AF0F69">
      <w:pPr>
        <w:pStyle w:val="12"/>
        <w:numPr>
          <w:ilvl w:val="0"/>
          <w:numId w:val="7"/>
        </w:numPr>
        <w:spacing w:before="156" w:after="156"/>
        <w:ind w:firstLineChars="0"/>
        <w:rPr>
          <w:color w:val="000000"/>
        </w:rPr>
      </w:pPr>
      <w:r>
        <w:rPr>
          <w:rFonts w:hint="eastAsia"/>
          <w:color w:val="000000"/>
        </w:rPr>
        <w:t>投标文件字体宋体、A4幅面纸张打印</w:t>
      </w:r>
    </w:p>
    <w:p w14:paraId="21EBDBC5">
      <w:pPr>
        <w:pStyle w:val="12"/>
        <w:numPr>
          <w:ilvl w:val="0"/>
          <w:numId w:val="2"/>
        </w:numPr>
        <w:spacing w:before="156" w:after="156"/>
        <w:ind w:firstLineChars="0"/>
        <w:rPr>
          <w:color w:val="000000"/>
        </w:rPr>
      </w:pPr>
      <w:r>
        <w:rPr>
          <w:rFonts w:hint="eastAsia"/>
          <w:color w:val="000000"/>
        </w:rPr>
        <w:t>招投标文件的补充</w:t>
      </w:r>
    </w:p>
    <w:p w14:paraId="51D7A57E">
      <w:pPr>
        <w:pStyle w:val="16"/>
        <w:numPr>
          <w:ilvl w:val="0"/>
          <w:numId w:val="8"/>
        </w:numPr>
        <w:spacing w:before="156" w:after="156"/>
        <w:ind w:firstLineChars="0"/>
        <w:rPr>
          <w:color w:val="000000"/>
        </w:rPr>
      </w:pPr>
      <w:r>
        <w:rPr>
          <w:rFonts w:hint="eastAsia"/>
          <w:color w:val="000000"/>
        </w:rPr>
        <w:t>投标方应自行承担所有与编写和提交投标文件有关的费用，不论投标的结果如何，招标方在任何情况下均无义务和责任承担这些费用。</w:t>
      </w:r>
    </w:p>
    <w:p w14:paraId="5AE4AEA1">
      <w:pPr>
        <w:pStyle w:val="16"/>
        <w:numPr>
          <w:ilvl w:val="0"/>
          <w:numId w:val="8"/>
        </w:numPr>
        <w:spacing w:before="156" w:after="156"/>
        <w:ind w:firstLineChars="0"/>
        <w:rPr>
          <w:color w:val="000000"/>
        </w:rPr>
      </w:pPr>
      <w:r>
        <w:rPr>
          <w:rFonts w:hint="eastAsia"/>
          <w:color w:val="000000"/>
        </w:rPr>
        <w:t>投标文件必须在招标方规定的投标截止日期前送达（或邮递）到投标地点，过期不候。</w:t>
      </w:r>
    </w:p>
    <w:p w14:paraId="1D440A60">
      <w:pPr>
        <w:pStyle w:val="16"/>
        <w:numPr>
          <w:ilvl w:val="0"/>
          <w:numId w:val="8"/>
        </w:numPr>
        <w:spacing w:before="156" w:after="156"/>
        <w:ind w:firstLineChars="0"/>
        <w:rPr>
          <w:color w:val="000000"/>
        </w:rPr>
      </w:pPr>
      <w:r>
        <w:rPr>
          <w:rFonts w:hint="eastAsia"/>
          <w:color w:val="000000"/>
        </w:rPr>
        <w:t>对投标软件售后服务方案做出详细承诺，要具体写出服务响应时间。</w:t>
      </w:r>
    </w:p>
    <w:p w14:paraId="0666841A">
      <w:pPr>
        <w:pStyle w:val="12"/>
        <w:numPr>
          <w:ilvl w:val="0"/>
          <w:numId w:val="2"/>
        </w:numPr>
        <w:spacing w:before="156" w:after="156"/>
        <w:ind w:firstLineChars="0"/>
        <w:rPr>
          <w:color w:val="000000"/>
        </w:rPr>
      </w:pPr>
      <w:r>
        <w:rPr>
          <w:rFonts w:hint="eastAsia"/>
          <w:color w:val="000000"/>
        </w:rPr>
        <w:t>投标书送达方式及地点：</w:t>
      </w:r>
    </w:p>
    <w:p w14:paraId="7E0878D8">
      <w:pPr>
        <w:pStyle w:val="12"/>
        <w:spacing w:before="156" w:after="156"/>
        <w:ind w:firstLine="480"/>
        <w:rPr>
          <w:color w:val="000000"/>
        </w:rPr>
      </w:pPr>
      <w:r>
        <w:rPr>
          <w:rFonts w:hint="eastAsia"/>
          <w:color w:val="000000"/>
        </w:rPr>
        <w:t>投标方式：</w:t>
      </w:r>
      <w:r>
        <w:rPr>
          <w:rFonts w:hint="eastAsia"/>
          <w:color w:val="FF0000"/>
          <w:lang w:val="en-US" w:eastAsia="zh-CN"/>
        </w:rPr>
        <w:t>标书和报价单需封口后现场</w:t>
      </w:r>
      <w:r>
        <w:rPr>
          <w:rFonts w:hint="eastAsia"/>
          <w:color w:val="FF0000"/>
        </w:rPr>
        <w:t>递交</w:t>
      </w:r>
    </w:p>
    <w:p w14:paraId="4E4512BB">
      <w:pPr>
        <w:pStyle w:val="12"/>
        <w:spacing w:before="156" w:after="156"/>
        <w:ind w:firstLine="480"/>
        <w:rPr>
          <w:color w:val="000000"/>
        </w:rPr>
      </w:pPr>
      <w:r>
        <w:rPr>
          <w:rFonts w:hint="eastAsia"/>
          <w:color w:val="000000"/>
        </w:rPr>
        <w:t>递交地址：淮南东方医院集团总医院办公楼会议室（四）</w:t>
      </w:r>
    </w:p>
    <w:p w14:paraId="3B9926CD">
      <w:pPr>
        <w:pStyle w:val="15"/>
        <w:ind w:firstLine="0" w:firstLineChars="0"/>
        <w:rPr>
          <w:color w:val="000000"/>
        </w:rPr>
      </w:pPr>
      <w:bookmarkStart w:id="7" w:name="_GoBack"/>
      <w:bookmarkEnd w:id="7"/>
      <w:r>
        <w:rPr>
          <w:color w:val="000000"/>
        </w:rPr>
        <w:br w:type="page"/>
      </w:r>
      <w:r>
        <w:rPr>
          <w:rFonts w:hint="eastAsia"/>
          <w:color w:val="000000"/>
        </w:rPr>
        <w:t>第三部分  开标、评标及定标</w:t>
      </w:r>
    </w:p>
    <w:p w14:paraId="16EC1E5E">
      <w:pPr>
        <w:pStyle w:val="12"/>
        <w:numPr>
          <w:ilvl w:val="0"/>
          <w:numId w:val="9"/>
        </w:numPr>
        <w:spacing w:before="156" w:after="156"/>
        <w:ind w:firstLineChars="0"/>
        <w:rPr>
          <w:color w:val="000000"/>
        </w:rPr>
      </w:pPr>
      <w:r>
        <w:rPr>
          <w:rFonts w:hint="eastAsia"/>
          <w:color w:val="000000"/>
        </w:rPr>
        <w:t>开标：</w:t>
      </w:r>
    </w:p>
    <w:p w14:paraId="38951DDE">
      <w:pPr>
        <w:pStyle w:val="16"/>
        <w:numPr>
          <w:ilvl w:val="0"/>
          <w:numId w:val="10"/>
        </w:numPr>
        <w:spacing w:before="156" w:after="156"/>
        <w:ind w:firstLineChars="0"/>
        <w:rPr>
          <w:color w:val="000000"/>
        </w:rPr>
      </w:pPr>
      <w:r>
        <w:rPr>
          <w:rFonts w:hint="eastAsia"/>
          <w:color w:val="000000"/>
        </w:rPr>
        <w:t>开标地点：淮南东方医院集团总医院办公楼会议室</w:t>
      </w:r>
    </w:p>
    <w:p w14:paraId="32ED5FE8">
      <w:pPr>
        <w:pStyle w:val="16"/>
        <w:numPr>
          <w:ilvl w:val="0"/>
          <w:numId w:val="10"/>
        </w:numPr>
        <w:spacing w:before="156" w:after="156"/>
        <w:ind w:firstLineChars="0"/>
        <w:rPr>
          <w:color w:val="000000"/>
        </w:rPr>
      </w:pPr>
      <w:r>
        <w:rPr>
          <w:rFonts w:hint="eastAsia"/>
          <w:color w:val="000000"/>
        </w:rPr>
        <w:t>开标时间：20</w:t>
      </w:r>
      <w:r>
        <w:rPr>
          <w:rFonts w:hint="eastAsia"/>
          <w:color w:val="000000"/>
          <w:lang w:val="en-US" w:eastAsia="zh-CN"/>
        </w:rPr>
        <w:t>26</w:t>
      </w:r>
      <w:r>
        <w:rPr>
          <w:rFonts w:hint="eastAsia"/>
          <w:color w:val="000000"/>
        </w:rPr>
        <w:t>年</w:t>
      </w:r>
      <w:r>
        <w:rPr>
          <w:rFonts w:hint="eastAsia"/>
          <w:color w:val="000000"/>
          <w:lang w:val="en-US" w:eastAsia="zh-CN"/>
        </w:rPr>
        <w:t>07</w:t>
      </w:r>
      <w:r>
        <w:rPr>
          <w:rFonts w:hint="eastAsia"/>
          <w:color w:val="000000"/>
        </w:rPr>
        <w:t>月</w:t>
      </w:r>
      <w:r>
        <w:rPr>
          <w:rFonts w:hint="eastAsia"/>
          <w:color w:val="000000"/>
          <w:lang w:val="en-US" w:eastAsia="zh-CN"/>
        </w:rPr>
        <w:t>31</w:t>
      </w:r>
      <w:r>
        <w:rPr>
          <w:rFonts w:hint="eastAsia"/>
          <w:color w:val="000000"/>
        </w:rPr>
        <w:t>日 P</w:t>
      </w:r>
      <w:r>
        <w:rPr>
          <w:color w:val="000000"/>
        </w:rPr>
        <w:t xml:space="preserve">M </w:t>
      </w:r>
      <w:r>
        <w:rPr>
          <w:rFonts w:hint="eastAsia"/>
          <w:color w:val="000000"/>
          <w:lang w:val="en-US" w:eastAsia="zh-CN"/>
        </w:rPr>
        <w:t>15:00</w:t>
      </w:r>
    </w:p>
    <w:p w14:paraId="392AE355">
      <w:pPr>
        <w:pStyle w:val="16"/>
        <w:numPr>
          <w:ilvl w:val="0"/>
          <w:numId w:val="10"/>
        </w:numPr>
        <w:spacing w:before="156" w:after="156"/>
        <w:ind w:firstLineChars="0"/>
        <w:rPr>
          <w:color w:val="000000"/>
        </w:rPr>
      </w:pPr>
      <w:r>
        <w:rPr>
          <w:rFonts w:hint="eastAsia"/>
          <w:color w:val="000000"/>
        </w:rPr>
        <w:t>开标：由招标工作组依据招标文件规定的时间和地点，开启投标人提交的投标文件，整理并记录投标文件的主要内容，并在开标记录上签字认定。</w:t>
      </w:r>
    </w:p>
    <w:p w14:paraId="1D637F28">
      <w:pPr>
        <w:pStyle w:val="16"/>
        <w:numPr>
          <w:ilvl w:val="0"/>
          <w:numId w:val="10"/>
        </w:numPr>
        <w:spacing w:before="156" w:after="156"/>
        <w:ind w:firstLineChars="0"/>
        <w:rPr>
          <w:color w:val="000000"/>
        </w:rPr>
      </w:pPr>
      <w:r>
        <w:rPr>
          <w:rFonts w:hint="eastAsia"/>
          <w:color w:val="000000"/>
        </w:rPr>
        <w:t>开标条件：投标公司至少要达到3家方可开标，如不足3家则流标。</w:t>
      </w:r>
    </w:p>
    <w:p w14:paraId="2113DE02">
      <w:pPr>
        <w:pStyle w:val="12"/>
        <w:numPr>
          <w:ilvl w:val="0"/>
          <w:numId w:val="9"/>
        </w:numPr>
        <w:spacing w:before="156" w:after="156"/>
        <w:ind w:firstLineChars="0"/>
        <w:rPr>
          <w:color w:val="000000"/>
        </w:rPr>
      </w:pPr>
      <w:r>
        <w:rPr>
          <w:rFonts w:hint="eastAsia"/>
          <w:color w:val="000000"/>
        </w:rPr>
        <w:t>评标：</w:t>
      </w:r>
    </w:p>
    <w:p w14:paraId="71B014BB">
      <w:pPr>
        <w:pStyle w:val="16"/>
        <w:numPr>
          <w:ilvl w:val="0"/>
          <w:numId w:val="11"/>
        </w:numPr>
        <w:spacing w:before="156" w:after="156"/>
        <w:ind w:firstLineChars="0"/>
        <w:rPr>
          <w:color w:val="000000"/>
        </w:rPr>
      </w:pPr>
      <w:r>
        <w:rPr>
          <w:rFonts w:hint="eastAsia"/>
          <w:color w:val="000000"/>
        </w:rPr>
        <w:t>评标工作组根据下列原则进行评标</w:t>
      </w:r>
    </w:p>
    <w:p w14:paraId="51ED76CF">
      <w:pPr>
        <w:pStyle w:val="12"/>
        <w:numPr>
          <w:ilvl w:val="1"/>
          <w:numId w:val="11"/>
        </w:numPr>
        <w:spacing w:before="156" w:after="156"/>
        <w:ind w:firstLineChars="0"/>
        <w:rPr>
          <w:color w:val="000000"/>
        </w:rPr>
      </w:pPr>
      <w:r>
        <w:rPr>
          <w:rFonts w:hint="eastAsia"/>
          <w:color w:val="000000"/>
        </w:rPr>
        <w:t>综合分析投标方的各项指标，不以单项指标的优劣评选中标单位。</w:t>
      </w:r>
    </w:p>
    <w:p w14:paraId="68F20323">
      <w:pPr>
        <w:pStyle w:val="12"/>
        <w:numPr>
          <w:ilvl w:val="1"/>
          <w:numId w:val="11"/>
        </w:numPr>
        <w:spacing w:before="156" w:after="156"/>
        <w:ind w:firstLineChars="0"/>
        <w:rPr>
          <w:color w:val="000000"/>
        </w:rPr>
      </w:pPr>
      <w:r>
        <w:rPr>
          <w:rFonts w:hint="eastAsia"/>
          <w:color w:val="000000"/>
        </w:rPr>
        <w:t>对所有投标方的投标评估，采用相同的程序和标准。</w:t>
      </w:r>
    </w:p>
    <w:p w14:paraId="700B7C74">
      <w:pPr>
        <w:pStyle w:val="12"/>
        <w:numPr>
          <w:ilvl w:val="1"/>
          <w:numId w:val="11"/>
        </w:numPr>
        <w:spacing w:before="156" w:after="156"/>
        <w:ind w:firstLineChars="0"/>
        <w:rPr>
          <w:color w:val="000000"/>
        </w:rPr>
      </w:pPr>
      <w:r>
        <w:rPr>
          <w:rFonts w:hint="eastAsia"/>
          <w:color w:val="000000"/>
        </w:rPr>
        <w:t>保守投标方的商业秘密。</w:t>
      </w:r>
    </w:p>
    <w:p w14:paraId="27AE8E0F">
      <w:pPr>
        <w:pStyle w:val="12"/>
        <w:numPr>
          <w:ilvl w:val="1"/>
          <w:numId w:val="11"/>
        </w:numPr>
        <w:spacing w:before="156" w:after="156"/>
        <w:ind w:firstLineChars="0"/>
        <w:rPr>
          <w:color w:val="000000"/>
        </w:rPr>
      </w:pPr>
      <w:r>
        <w:rPr>
          <w:rFonts w:hint="eastAsia"/>
          <w:color w:val="000000"/>
        </w:rPr>
        <w:t>不对各落标方解释落标原因，不退还投标文件。</w:t>
      </w:r>
    </w:p>
    <w:p w14:paraId="2AC7A3DF">
      <w:pPr>
        <w:pStyle w:val="12"/>
        <w:numPr>
          <w:ilvl w:val="1"/>
          <w:numId w:val="11"/>
        </w:numPr>
        <w:spacing w:before="156" w:after="156"/>
        <w:ind w:firstLineChars="0"/>
        <w:rPr>
          <w:color w:val="000000"/>
        </w:rPr>
      </w:pPr>
      <w:r>
        <w:rPr>
          <w:rFonts w:hint="eastAsia"/>
          <w:color w:val="000000"/>
        </w:rPr>
        <w:t>评标过程中，评标工作组可以要求投标方对投标文件中不明确的地方进行必要的澄清、说明或答辩，投标方必须按时派专人或以书面形式进行澄清、说明，但不得对投标文件的内容进行实质性修改。</w:t>
      </w:r>
    </w:p>
    <w:p w14:paraId="119500C7">
      <w:pPr>
        <w:pStyle w:val="12"/>
        <w:numPr>
          <w:ilvl w:val="1"/>
          <w:numId w:val="11"/>
        </w:numPr>
        <w:spacing w:before="156" w:after="156"/>
        <w:ind w:firstLineChars="0"/>
        <w:rPr>
          <w:color w:val="000000"/>
        </w:rPr>
      </w:pPr>
      <w:r>
        <w:rPr>
          <w:rFonts w:hint="eastAsia"/>
          <w:color w:val="000000"/>
        </w:rPr>
        <w:t>投标方不得干扰招标方的评标活动，否则将废除其投标文件，取消其投标资格，并没收投标保证金。</w:t>
      </w:r>
    </w:p>
    <w:p w14:paraId="47342C66">
      <w:pPr>
        <w:pStyle w:val="12"/>
        <w:numPr>
          <w:ilvl w:val="1"/>
          <w:numId w:val="11"/>
        </w:numPr>
        <w:spacing w:before="156" w:after="156"/>
        <w:ind w:firstLineChars="0"/>
        <w:rPr>
          <w:color w:val="000000"/>
        </w:rPr>
      </w:pPr>
      <w:r>
        <w:rPr>
          <w:rFonts w:hint="eastAsia"/>
          <w:color w:val="000000"/>
        </w:rPr>
        <w:t>投标方不得相互串通投标报标，不得排挤其他投标方的公平竞争，在评标期间，投标方不得向评委询问情况，不得进行有违公正的活动，否则将被取消投标资格，并没收投标保证金。</w:t>
      </w:r>
    </w:p>
    <w:p w14:paraId="5AFB08F2">
      <w:pPr>
        <w:pStyle w:val="12"/>
        <w:spacing w:before="156" w:after="156"/>
        <w:ind w:firstLine="556" w:firstLineChars="232"/>
        <w:rPr>
          <w:color w:val="000000"/>
        </w:rPr>
      </w:pPr>
      <w:r>
        <w:rPr>
          <w:rFonts w:hint="eastAsia"/>
          <w:color w:val="000000"/>
        </w:rPr>
        <w:t>2.  评标办法</w:t>
      </w:r>
    </w:p>
    <w:p w14:paraId="2E833866">
      <w:pPr>
        <w:pStyle w:val="4"/>
        <w:snapToGrid w:val="0"/>
        <w:spacing w:line="300" w:lineRule="auto"/>
        <w:ind w:firstLine="900" w:firstLineChars="375"/>
        <w:jc w:val="both"/>
        <w:rPr>
          <w:rFonts w:ascii="Times New Roman"/>
          <w:color w:val="000000"/>
        </w:rPr>
      </w:pPr>
      <w:r>
        <w:rPr>
          <w:rFonts w:ascii="Times New Roman"/>
          <w:color w:val="000000"/>
        </w:rPr>
        <w:t>1</w:t>
      </w:r>
      <w:r>
        <w:rPr>
          <w:rFonts w:hint="eastAsia" w:ascii="Times New Roman"/>
          <w:color w:val="000000"/>
        </w:rPr>
        <w:t>）</w:t>
      </w:r>
      <w:r>
        <w:rPr>
          <w:rFonts w:ascii="Times New Roman"/>
          <w:color w:val="000000"/>
        </w:rPr>
        <w:t>评标算法</w:t>
      </w:r>
    </w:p>
    <w:p w14:paraId="1D6EE0FE">
      <w:pPr>
        <w:pStyle w:val="4"/>
        <w:snapToGrid w:val="0"/>
        <w:spacing w:line="300" w:lineRule="auto"/>
        <w:ind w:firstLine="1320" w:firstLineChars="550"/>
        <w:jc w:val="both"/>
        <w:rPr>
          <w:rFonts w:ascii="Times New Roman"/>
          <w:color w:val="000000"/>
        </w:rPr>
      </w:pPr>
      <w:r>
        <w:rPr>
          <w:rFonts w:ascii="Times New Roman"/>
          <w:color w:val="000000"/>
        </w:rPr>
        <w:t>投标文件的评估依据下列公式计算：</w:t>
      </w:r>
    </w:p>
    <w:p w14:paraId="654F4A39">
      <w:pPr>
        <w:pStyle w:val="4"/>
        <w:snapToGrid w:val="0"/>
        <w:spacing w:line="300" w:lineRule="auto"/>
        <w:ind w:firstLine="1320" w:firstLineChars="550"/>
        <w:jc w:val="both"/>
        <w:rPr>
          <w:rFonts w:ascii="Times New Roman"/>
          <w:color w:val="000000"/>
        </w:rPr>
      </w:pPr>
      <w:r>
        <w:rPr>
          <w:rFonts w:ascii="Times New Roman"/>
          <w:color w:val="000000"/>
        </w:rPr>
        <w:t xml:space="preserve">总分   S ＝ C + B – D </w:t>
      </w:r>
    </w:p>
    <w:p w14:paraId="58975084">
      <w:pPr>
        <w:pStyle w:val="4"/>
        <w:snapToGrid w:val="0"/>
        <w:spacing w:line="300" w:lineRule="auto"/>
        <w:ind w:firstLine="1320" w:firstLineChars="550"/>
        <w:jc w:val="both"/>
        <w:rPr>
          <w:rFonts w:ascii="Times New Roman"/>
          <w:color w:val="000000"/>
        </w:rPr>
      </w:pPr>
      <w:r>
        <w:rPr>
          <w:rFonts w:ascii="Times New Roman"/>
          <w:color w:val="000000"/>
        </w:rPr>
        <w:t>其中： C：投标价格得分（满分为</w:t>
      </w:r>
      <w:r>
        <w:rPr>
          <w:rFonts w:hint="eastAsia" w:ascii="Times New Roman"/>
          <w:color w:val="000000"/>
        </w:rPr>
        <w:t>30</w:t>
      </w:r>
      <w:r>
        <w:rPr>
          <w:rFonts w:ascii="Times New Roman"/>
          <w:color w:val="000000"/>
        </w:rPr>
        <w:t>分）</w:t>
      </w:r>
    </w:p>
    <w:p w14:paraId="1F7D2424">
      <w:pPr>
        <w:pStyle w:val="4"/>
        <w:tabs>
          <w:tab w:val="left" w:pos="2640"/>
        </w:tabs>
        <w:snapToGrid w:val="0"/>
        <w:spacing w:line="300" w:lineRule="auto"/>
        <w:ind w:firstLine="2160" w:firstLineChars="900"/>
        <w:jc w:val="both"/>
        <w:rPr>
          <w:rFonts w:ascii="Times New Roman"/>
          <w:color w:val="000000"/>
        </w:rPr>
      </w:pPr>
      <w:bookmarkStart w:id="0" w:name="_Toc100117797"/>
      <w:bookmarkStart w:id="1" w:name="_Toc101933972"/>
      <w:bookmarkStart w:id="2" w:name="_Toc491055617"/>
      <w:bookmarkStart w:id="3" w:name="_Toc101934332"/>
      <w:bookmarkStart w:id="4" w:name="_Toc100116641"/>
      <w:bookmarkStart w:id="5" w:name="_Toc491054510"/>
      <w:r>
        <w:rPr>
          <w:rFonts w:ascii="Times New Roman"/>
          <w:color w:val="000000"/>
        </w:rPr>
        <w:t>D：投标缺项</w:t>
      </w:r>
      <w:r>
        <w:rPr>
          <w:rFonts w:hint="eastAsia" w:ascii="Times New Roman"/>
          <w:color w:val="000000"/>
        </w:rPr>
        <w:t>、</w:t>
      </w:r>
      <w:r>
        <w:rPr>
          <w:rFonts w:ascii="Times New Roman"/>
          <w:color w:val="000000"/>
        </w:rPr>
        <w:t>漏项</w:t>
      </w:r>
      <w:r>
        <w:rPr>
          <w:rFonts w:hint="eastAsia" w:ascii="Times New Roman"/>
          <w:color w:val="000000"/>
        </w:rPr>
        <w:t>得</w:t>
      </w:r>
      <w:r>
        <w:rPr>
          <w:rFonts w:ascii="Times New Roman"/>
          <w:color w:val="000000"/>
        </w:rPr>
        <w:t>分</w:t>
      </w:r>
    </w:p>
    <w:p w14:paraId="1E80B9BF">
      <w:pPr>
        <w:pStyle w:val="4"/>
        <w:tabs>
          <w:tab w:val="left" w:pos="2520"/>
        </w:tabs>
        <w:snapToGrid w:val="0"/>
        <w:spacing w:line="300" w:lineRule="auto"/>
        <w:ind w:left="2155" w:leftChars="1026" w:firstLine="0"/>
        <w:jc w:val="both"/>
        <w:rPr>
          <w:rFonts w:ascii="Times New Roman"/>
          <w:color w:val="000000"/>
        </w:rPr>
      </w:pPr>
      <w:r>
        <w:rPr>
          <w:rFonts w:hint="eastAsia" w:ascii="Times New Roman"/>
          <w:color w:val="000000"/>
        </w:rPr>
        <w:t>B</w:t>
      </w:r>
      <w:r>
        <w:rPr>
          <w:rFonts w:ascii="Times New Roman"/>
          <w:color w:val="000000"/>
        </w:rPr>
        <w:t>：</w:t>
      </w:r>
      <w:r>
        <w:rPr>
          <w:rFonts w:hint="eastAsia" w:ascii="Times New Roman"/>
          <w:color w:val="000000"/>
        </w:rPr>
        <w:t>投标公司资质、信誉、服务能力、</w:t>
      </w:r>
      <w:r>
        <w:rPr>
          <w:rFonts w:hint="eastAsia"/>
          <w:color w:val="000000"/>
        </w:rPr>
        <w:t>交货周期、</w:t>
      </w:r>
      <w:r>
        <w:rPr>
          <w:rFonts w:hint="eastAsia" w:ascii="Times New Roman"/>
          <w:color w:val="000000"/>
        </w:rPr>
        <w:t>系统技术功能满足东方医院集团体检中心系统要求及优惠条件</w:t>
      </w:r>
      <w:r>
        <w:rPr>
          <w:rFonts w:ascii="Times New Roman"/>
          <w:color w:val="000000"/>
        </w:rPr>
        <w:t>得分（满分为</w:t>
      </w:r>
      <w:r>
        <w:rPr>
          <w:rFonts w:hint="eastAsia" w:ascii="Times New Roman"/>
          <w:color w:val="000000"/>
        </w:rPr>
        <w:t>70</w:t>
      </w:r>
      <w:r>
        <w:rPr>
          <w:rFonts w:ascii="Times New Roman"/>
          <w:color w:val="000000"/>
        </w:rPr>
        <w:t>分）</w:t>
      </w:r>
    </w:p>
    <w:p w14:paraId="2964A05F">
      <w:pPr>
        <w:pStyle w:val="4"/>
        <w:tabs>
          <w:tab w:val="left" w:pos="2520"/>
        </w:tabs>
        <w:snapToGrid w:val="0"/>
        <w:spacing w:line="300" w:lineRule="auto"/>
        <w:ind w:left="2155" w:leftChars="1026" w:firstLine="0"/>
        <w:jc w:val="both"/>
        <w:rPr>
          <w:rFonts w:ascii="Times New Roman"/>
          <w:color w:val="000000"/>
        </w:rPr>
      </w:pPr>
    </w:p>
    <w:p w14:paraId="7E980B64">
      <w:pPr>
        <w:pStyle w:val="4"/>
        <w:tabs>
          <w:tab w:val="left" w:pos="2640"/>
        </w:tabs>
        <w:snapToGrid w:val="0"/>
        <w:spacing w:line="300" w:lineRule="auto"/>
        <w:ind w:firstLine="2160" w:firstLineChars="900"/>
        <w:jc w:val="both"/>
        <w:rPr>
          <w:rFonts w:ascii="Times New Roman"/>
          <w:color w:val="000000"/>
        </w:rPr>
      </w:pPr>
    </w:p>
    <w:p w14:paraId="2BB3CA74">
      <w:pPr>
        <w:pStyle w:val="4"/>
        <w:snapToGrid w:val="0"/>
        <w:spacing w:line="300" w:lineRule="auto"/>
        <w:ind w:firstLine="0"/>
        <w:jc w:val="both"/>
        <w:rPr>
          <w:rFonts w:ascii="Times New Roman"/>
          <w:color w:val="000000"/>
        </w:rPr>
      </w:pPr>
    </w:p>
    <w:p w14:paraId="4FE6F7FC">
      <w:pPr>
        <w:pStyle w:val="4"/>
        <w:snapToGrid w:val="0"/>
        <w:spacing w:line="300" w:lineRule="auto"/>
        <w:ind w:firstLine="960" w:firstLineChars="400"/>
        <w:jc w:val="both"/>
        <w:rPr>
          <w:rFonts w:ascii="Times New Roman"/>
          <w:color w:val="000000"/>
        </w:rPr>
      </w:pPr>
      <w:r>
        <w:rPr>
          <w:rFonts w:ascii="Times New Roman"/>
          <w:color w:val="000000"/>
        </w:rPr>
        <w:t>2</w:t>
      </w:r>
      <w:r>
        <w:rPr>
          <w:rFonts w:hint="eastAsia" w:ascii="Times New Roman"/>
          <w:color w:val="000000"/>
        </w:rPr>
        <w:t>）</w:t>
      </w:r>
      <w:r>
        <w:rPr>
          <w:rFonts w:ascii="Times New Roman"/>
          <w:color w:val="000000"/>
        </w:rPr>
        <w:t>投标价格得分(C)的计算</w:t>
      </w:r>
      <w:bookmarkEnd w:id="0"/>
      <w:bookmarkEnd w:id="1"/>
      <w:bookmarkEnd w:id="2"/>
      <w:bookmarkEnd w:id="3"/>
      <w:bookmarkEnd w:id="4"/>
      <w:bookmarkEnd w:id="5"/>
    </w:p>
    <w:p w14:paraId="37711C0F">
      <w:pPr>
        <w:pStyle w:val="4"/>
        <w:snapToGrid w:val="0"/>
        <w:spacing w:line="300" w:lineRule="auto"/>
        <w:ind w:firstLine="1320" w:firstLineChars="550"/>
        <w:jc w:val="both"/>
        <w:rPr>
          <w:rFonts w:ascii="Times New Roman"/>
          <w:color w:val="000000"/>
        </w:rPr>
      </w:pPr>
      <w:r>
        <w:rPr>
          <w:rFonts w:ascii="Times New Roman"/>
          <w:color w:val="000000"/>
        </w:rPr>
        <w:t xml:space="preserve">价格分 C ＝ (Cmin / Cn) </w:t>
      </w:r>
      <w:r>
        <w:rPr>
          <w:rFonts w:ascii="Times New Roman"/>
          <w:color w:val="000000"/>
        </w:rPr>
        <w:sym w:font="Symbol" w:char="F0B4"/>
      </w:r>
      <w:r>
        <w:rPr>
          <w:rFonts w:ascii="Times New Roman"/>
          <w:color w:val="000000"/>
        </w:rPr>
        <w:t xml:space="preserve"> X</w:t>
      </w:r>
    </w:p>
    <w:p w14:paraId="154B6EB6">
      <w:pPr>
        <w:pStyle w:val="4"/>
        <w:tabs>
          <w:tab w:val="left" w:pos="2160"/>
        </w:tabs>
        <w:snapToGrid w:val="0"/>
        <w:spacing w:line="300" w:lineRule="auto"/>
        <w:ind w:firstLine="1320" w:firstLineChars="550"/>
        <w:jc w:val="both"/>
        <w:rPr>
          <w:rFonts w:ascii="Times New Roman"/>
          <w:color w:val="000000"/>
        </w:rPr>
      </w:pPr>
      <w:r>
        <w:rPr>
          <w:rFonts w:ascii="Times New Roman"/>
          <w:color w:val="000000"/>
        </w:rPr>
        <w:t>其中： C：</w:t>
      </w:r>
      <w:r>
        <w:rPr>
          <w:rFonts w:ascii="Times New Roman"/>
          <w:color w:val="000000"/>
        </w:rPr>
        <w:tab/>
      </w:r>
      <w:r>
        <w:rPr>
          <w:rFonts w:ascii="Times New Roman"/>
          <w:color w:val="000000"/>
        </w:rPr>
        <w:t>投标价格得分</w:t>
      </w:r>
    </w:p>
    <w:p w14:paraId="79E1E42E">
      <w:pPr>
        <w:pStyle w:val="4"/>
        <w:tabs>
          <w:tab w:val="left" w:pos="2160"/>
        </w:tabs>
        <w:snapToGrid w:val="0"/>
        <w:spacing w:line="300" w:lineRule="auto"/>
        <w:ind w:firstLine="2160" w:firstLineChars="900"/>
        <w:jc w:val="both"/>
        <w:rPr>
          <w:rFonts w:ascii="Times New Roman"/>
          <w:color w:val="000000"/>
        </w:rPr>
      </w:pPr>
      <w:r>
        <w:rPr>
          <w:rFonts w:ascii="Times New Roman"/>
          <w:color w:val="000000"/>
        </w:rPr>
        <w:t>Cmin：</w:t>
      </w:r>
      <w:r>
        <w:rPr>
          <w:rFonts w:ascii="Times New Roman"/>
          <w:color w:val="000000"/>
        </w:rPr>
        <w:tab/>
      </w:r>
      <w:r>
        <w:rPr>
          <w:rFonts w:ascii="Times New Roman"/>
          <w:color w:val="000000"/>
        </w:rPr>
        <w:t>全部有效投标人</w:t>
      </w:r>
      <w:r>
        <w:rPr>
          <w:rFonts w:hint="eastAsia" w:ascii="Times New Roman"/>
          <w:color w:val="000000"/>
        </w:rPr>
        <w:t>报价</w:t>
      </w:r>
      <w:r>
        <w:rPr>
          <w:rFonts w:ascii="Times New Roman"/>
          <w:color w:val="000000"/>
        </w:rPr>
        <w:t>中的最低评估价</w:t>
      </w:r>
      <w:r>
        <w:rPr>
          <w:rFonts w:hint="eastAsia" w:ascii="Times New Roman"/>
          <w:color w:val="000000"/>
        </w:rPr>
        <w:t>(基准价)</w:t>
      </w:r>
    </w:p>
    <w:p w14:paraId="430115FE">
      <w:pPr>
        <w:pStyle w:val="4"/>
        <w:tabs>
          <w:tab w:val="left" w:pos="2160"/>
        </w:tabs>
        <w:snapToGrid w:val="0"/>
        <w:spacing w:line="300" w:lineRule="auto"/>
        <w:ind w:firstLine="2160" w:firstLineChars="900"/>
        <w:jc w:val="both"/>
        <w:rPr>
          <w:rFonts w:ascii="Times New Roman"/>
          <w:color w:val="000000"/>
        </w:rPr>
      </w:pPr>
      <w:r>
        <w:rPr>
          <w:rFonts w:ascii="Times New Roman"/>
          <w:color w:val="000000"/>
        </w:rPr>
        <w:t>Cn：</w:t>
      </w:r>
      <w:r>
        <w:rPr>
          <w:rFonts w:ascii="Times New Roman"/>
          <w:color w:val="000000"/>
        </w:rPr>
        <w:tab/>
      </w:r>
      <w:r>
        <w:rPr>
          <w:rFonts w:ascii="Times New Roman"/>
          <w:color w:val="000000"/>
        </w:rPr>
        <w:t>投标人评估价</w:t>
      </w:r>
    </w:p>
    <w:p w14:paraId="6983D010">
      <w:pPr>
        <w:pStyle w:val="4"/>
        <w:tabs>
          <w:tab w:val="left" w:pos="2160"/>
        </w:tabs>
        <w:snapToGrid w:val="0"/>
        <w:spacing w:line="300" w:lineRule="auto"/>
        <w:ind w:firstLine="2160" w:firstLineChars="900"/>
        <w:jc w:val="both"/>
        <w:rPr>
          <w:rFonts w:ascii="Times New Roman"/>
          <w:color w:val="000000"/>
        </w:rPr>
      </w:pPr>
      <w:r>
        <w:rPr>
          <w:rFonts w:ascii="Times New Roman"/>
          <w:color w:val="000000"/>
        </w:rPr>
        <w:t>X：</w:t>
      </w:r>
      <w:r>
        <w:rPr>
          <w:rFonts w:hint="eastAsia" w:ascii="Times New Roman"/>
          <w:color w:val="000000"/>
        </w:rPr>
        <w:t>价格满分30分</w:t>
      </w:r>
      <w:r>
        <w:rPr>
          <w:rFonts w:ascii="Times New Roman"/>
          <w:color w:val="000000"/>
        </w:rPr>
        <w:t>（</w:t>
      </w:r>
      <w:r>
        <w:rPr>
          <w:rFonts w:hint="eastAsia" w:ascii="Times New Roman"/>
          <w:color w:val="000000"/>
        </w:rPr>
        <w:t>30</w:t>
      </w:r>
      <w:r>
        <w:rPr>
          <w:rFonts w:ascii="Times New Roman"/>
          <w:color w:val="000000"/>
        </w:rPr>
        <w:t>分）</w:t>
      </w:r>
    </w:p>
    <w:p w14:paraId="2E4DC39F">
      <w:pPr>
        <w:pStyle w:val="4"/>
        <w:tabs>
          <w:tab w:val="left" w:pos="2160"/>
        </w:tabs>
        <w:snapToGrid w:val="0"/>
        <w:spacing w:line="300" w:lineRule="auto"/>
        <w:jc w:val="both"/>
        <w:rPr>
          <w:rFonts w:ascii="Times New Roman"/>
          <w:color w:val="000000"/>
        </w:rPr>
      </w:pPr>
      <w:r>
        <w:rPr>
          <w:rFonts w:ascii="Segoe UI" w:hAnsi="Segoe UI" w:eastAsia="Segoe UI" w:cs="Segoe UI"/>
          <w:shd w:val="clear" w:color="auto" w:fill="FFFFFF"/>
        </w:rPr>
        <w:t>（例：基准价 100 万，某投标价 110 万，得分 = 100/110×</w:t>
      </w:r>
      <w:r>
        <w:rPr>
          <w:rFonts w:hint="eastAsia" w:ascii="Segoe UI" w:hAnsi="Segoe UI" w:cs="Segoe UI"/>
          <w:shd w:val="clear" w:color="auto" w:fill="FFFFFF"/>
        </w:rPr>
        <w:t>3</w:t>
      </w:r>
      <w:r>
        <w:rPr>
          <w:rFonts w:ascii="Segoe UI" w:hAnsi="Segoe UI" w:eastAsia="Segoe UI" w:cs="Segoe UI"/>
          <w:shd w:val="clear" w:color="auto" w:fill="FFFFFF"/>
        </w:rPr>
        <w:t>0≈54.5 分）</w:t>
      </w:r>
    </w:p>
    <w:p w14:paraId="66FE276C">
      <w:pPr>
        <w:snapToGrid w:val="0"/>
        <w:spacing w:line="300" w:lineRule="auto"/>
        <w:ind w:firstLine="420"/>
        <w:rPr>
          <w:color w:val="000000"/>
        </w:rPr>
      </w:pPr>
    </w:p>
    <w:p w14:paraId="455EB72A">
      <w:pPr>
        <w:snapToGrid w:val="0"/>
        <w:spacing w:line="300" w:lineRule="auto"/>
        <w:ind w:firstLine="960" w:firstLineChars="400"/>
        <w:rPr>
          <w:color w:val="000000"/>
          <w:sz w:val="24"/>
        </w:rPr>
      </w:pPr>
      <w:r>
        <w:rPr>
          <w:color w:val="000000"/>
          <w:sz w:val="24"/>
        </w:rPr>
        <w:t>3</w:t>
      </w:r>
      <w:r>
        <w:rPr>
          <w:rFonts w:hint="eastAsia"/>
          <w:color w:val="000000"/>
          <w:sz w:val="24"/>
        </w:rPr>
        <w:t>）</w:t>
      </w:r>
      <w:r>
        <w:rPr>
          <w:color w:val="000000"/>
          <w:sz w:val="24"/>
        </w:rPr>
        <w:t>投标缺项漏项</w:t>
      </w:r>
      <w:r>
        <w:rPr>
          <w:rFonts w:hint="eastAsia"/>
          <w:color w:val="000000"/>
          <w:sz w:val="24"/>
        </w:rPr>
        <w:t>得</w:t>
      </w:r>
      <w:r>
        <w:rPr>
          <w:color w:val="000000"/>
          <w:sz w:val="24"/>
        </w:rPr>
        <w:t>分（D）的计算</w:t>
      </w:r>
    </w:p>
    <w:p w14:paraId="2E6F3ED5">
      <w:pPr>
        <w:snapToGrid w:val="0"/>
        <w:spacing w:line="300" w:lineRule="auto"/>
        <w:ind w:left="1365" w:leftChars="650" w:firstLine="0" w:firstLineChars="0"/>
        <w:rPr>
          <w:color w:val="000000"/>
        </w:rPr>
      </w:pPr>
      <w:r>
        <w:rPr>
          <w:color w:val="000000"/>
          <w:sz w:val="24"/>
        </w:rPr>
        <w:t>若经评标工作组评估确认投标人存在缺项漏项，则按其缺项漏项部分的价值量在其投标价中所占的比例加倍</w:t>
      </w:r>
      <w:r>
        <w:rPr>
          <w:rFonts w:hint="eastAsia"/>
          <w:color w:val="000000"/>
          <w:sz w:val="24"/>
        </w:rPr>
        <w:t>得</w:t>
      </w:r>
      <w:r>
        <w:rPr>
          <w:color w:val="000000"/>
          <w:sz w:val="24"/>
        </w:rPr>
        <w:t>分，计算公式如下：</w:t>
      </w:r>
    </w:p>
    <w:p w14:paraId="0D2E4E89">
      <w:pPr>
        <w:snapToGrid w:val="0"/>
        <w:spacing w:line="300" w:lineRule="auto"/>
        <w:ind w:left="1365" w:leftChars="650" w:firstLine="0" w:firstLineChars="0"/>
        <w:rPr>
          <w:color w:val="000000"/>
          <w:sz w:val="24"/>
        </w:rPr>
      </w:pPr>
      <w:r>
        <w:rPr>
          <w:rFonts w:hint="eastAsia"/>
          <w:color w:val="000000"/>
          <w:sz w:val="24"/>
        </w:rPr>
        <w:t>缺项、</w:t>
      </w:r>
      <w:r>
        <w:rPr>
          <w:color w:val="000000"/>
          <w:sz w:val="24"/>
        </w:rPr>
        <w:t xml:space="preserve">漏项分 D = ( Wn / Cn ) </w:t>
      </w:r>
      <w:r>
        <w:rPr>
          <w:color w:val="000000"/>
          <w:sz w:val="24"/>
        </w:rPr>
        <w:sym w:font="Symbol" w:char="F0B4"/>
      </w:r>
      <w:r>
        <w:rPr>
          <w:color w:val="000000"/>
          <w:sz w:val="24"/>
        </w:rPr>
        <w:t xml:space="preserve"> 2</w:t>
      </w:r>
    </w:p>
    <w:p w14:paraId="729594A5">
      <w:pPr>
        <w:snapToGrid w:val="0"/>
        <w:spacing w:line="300" w:lineRule="auto"/>
        <w:ind w:left="1365" w:leftChars="650" w:firstLine="0" w:firstLineChars="0"/>
        <w:rPr>
          <w:color w:val="000000"/>
          <w:sz w:val="24"/>
        </w:rPr>
      </w:pPr>
      <w:r>
        <w:rPr>
          <w:color w:val="000000"/>
          <w:sz w:val="24"/>
        </w:rPr>
        <w:t>其中： D：</w:t>
      </w:r>
      <w:r>
        <w:rPr>
          <w:color w:val="000000"/>
          <w:sz w:val="24"/>
        </w:rPr>
        <w:tab/>
      </w:r>
      <w:r>
        <w:rPr>
          <w:color w:val="000000"/>
          <w:sz w:val="24"/>
        </w:rPr>
        <w:t>缺项漏项</w:t>
      </w:r>
      <w:r>
        <w:rPr>
          <w:rFonts w:hint="eastAsia"/>
          <w:color w:val="000000"/>
          <w:sz w:val="24"/>
        </w:rPr>
        <w:t>得</w:t>
      </w:r>
      <w:r>
        <w:rPr>
          <w:color w:val="000000"/>
          <w:sz w:val="24"/>
        </w:rPr>
        <w:t>分</w:t>
      </w:r>
    </w:p>
    <w:p w14:paraId="00E8D205">
      <w:pPr>
        <w:pStyle w:val="4"/>
        <w:tabs>
          <w:tab w:val="left" w:pos="2160"/>
        </w:tabs>
        <w:snapToGrid w:val="0"/>
        <w:spacing w:line="300" w:lineRule="auto"/>
        <w:ind w:left="2713" w:leftChars="1006" w:hanging="600" w:hangingChars="250"/>
        <w:jc w:val="both"/>
        <w:rPr>
          <w:rFonts w:ascii="Times New Roman"/>
          <w:color w:val="000000"/>
        </w:rPr>
      </w:pPr>
      <w:r>
        <w:rPr>
          <w:rFonts w:ascii="Times New Roman"/>
          <w:color w:val="000000"/>
        </w:rPr>
        <w:t>Wn：</w:t>
      </w:r>
      <w:r>
        <w:rPr>
          <w:rFonts w:ascii="Times New Roman"/>
          <w:color w:val="000000"/>
        </w:rPr>
        <w:tab/>
      </w:r>
      <w:r>
        <w:rPr>
          <w:rFonts w:ascii="Times New Roman"/>
          <w:color w:val="000000"/>
        </w:rPr>
        <w:t>投标人缺项漏项部分的价值量</w:t>
      </w:r>
    </w:p>
    <w:p w14:paraId="5DCEF2D3">
      <w:pPr>
        <w:pStyle w:val="4"/>
        <w:tabs>
          <w:tab w:val="left" w:pos="2160"/>
        </w:tabs>
        <w:snapToGrid w:val="0"/>
        <w:spacing w:line="300" w:lineRule="auto"/>
        <w:ind w:left="2713" w:leftChars="1006" w:hanging="600" w:hangingChars="250"/>
        <w:jc w:val="both"/>
        <w:rPr>
          <w:rFonts w:ascii="Times New Roman"/>
          <w:color w:val="000000"/>
        </w:rPr>
      </w:pPr>
      <w:r>
        <w:rPr>
          <w:rFonts w:ascii="Times New Roman"/>
          <w:color w:val="000000"/>
        </w:rPr>
        <w:t>（根据投标人所投同类货物的报价来确定；若投标人所投货物中无同类货物，则</w:t>
      </w:r>
      <w:r>
        <w:rPr>
          <w:rFonts w:hint="eastAsia" w:ascii="Times New Roman"/>
          <w:color w:val="000000"/>
        </w:rPr>
        <w:t>按</w:t>
      </w:r>
      <w:r>
        <w:rPr>
          <w:rFonts w:ascii="Times New Roman"/>
          <w:color w:val="000000"/>
        </w:rPr>
        <w:t>照其它投标人该项投标报价中的最高价来确定）</w:t>
      </w:r>
    </w:p>
    <w:p w14:paraId="3E88C925">
      <w:pPr>
        <w:pStyle w:val="4"/>
        <w:tabs>
          <w:tab w:val="left" w:pos="2160"/>
        </w:tabs>
        <w:snapToGrid w:val="0"/>
        <w:spacing w:line="300" w:lineRule="auto"/>
        <w:ind w:firstLine="2220" w:firstLineChars="925"/>
        <w:jc w:val="both"/>
        <w:rPr>
          <w:color w:val="000000"/>
        </w:rPr>
      </w:pPr>
      <w:r>
        <w:rPr>
          <w:rFonts w:ascii="Times New Roman"/>
          <w:color w:val="000000"/>
        </w:rPr>
        <w:t>Cn：</w:t>
      </w:r>
      <w:r>
        <w:rPr>
          <w:rFonts w:ascii="Times New Roman"/>
          <w:color w:val="000000"/>
        </w:rPr>
        <w:tab/>
      </w:r>
      <w:r>
        <w:rPr>
          <w:rFonts w:ascii="Times New Roman"/>
          <w:color w:val="000000"/>
        </w:rPr>
        <w:t>投标人</w:t>
      </w:r>
      <w:r>
        <w:rPr>
          <w:rFonts w:hint="eastAsia" w:ascii="Times New Roman"/>
          <w:color w:val="000000"/>
        </w:rPr>
        <w:t>评估</w:t>
      </w:r>
      <w:r>
        <w:rPr>
          <w:rFonts w:ascii="Times New Roman"/>
          <w:color w:val="000000"/>
        </w:rPr>
        <w:t>价</w:t>
      </w:r>
    </w:p>
    <w:p w14:paraId="68D93F67">
      <w:pPr>
        <w:pStyle w:val="12"/>
        <w:numPr>
          <w:ilvl w:val="0"/>
          <w:numId w:val="9"/>
        </w:numPr>
        <w:spacing w:before="156" w:after="156"/>
        <w:ind w:firstLineChars="0"/>
        <w:rPr>
          <w:color w:val="000000"/>
        </w:rPr>
      </w:pPr>
      <w:r>
        <w:rPr>
          <w:rFonts w:hint="eastAsia"/>
          <w:color w:val="000000"/>
        </w:rPr>
        <w:t>定标：</w:t>
      </w:r>
    </w:p>
    <w:p w14:paraId="33126615">
      <w:pPr>
        <w:pStyle w:val="12"/>
        <w:spacing w:before="156" w:after="156"/>
        <w:ind w:firstLine="480"/>
        <w:rPr>
          <w:rFonts w:hint="default" w:eastAsia="宋体"/>
          <w:color w:val="000000"/>
          <w:lang w:val="en-US" w:eastAsia="zh-CN"/>
        </w:rPr>
      </w:pPr>
      <w:r>
        <w:rPr>
          <w:rFonts w:hint="eastAsia"/>
          <w:color w:val="000000"/>
        </w:rPr>
        <w:t>评标工作组根据各投标方的商品报价、质量、性能、交货周期、售后服务承诺、公司资质及社会信誉等因素，按照评标办法进行综合评价，按照评分标准给出分数，以得分多少排定评标顺序，得分高的排名靠前，</w:t>
      </w:r>
      <w:r>
        <w:rPr>
          <w:rFonts w:hint="eastAsia"/>
          <w:color w:val="FF0000"/>
        </w:rPr>
        <w:t>最终排在</w:t>
      </w:r>
      <w:r>
        <w:rPr>
          <w:rFonts w:hint="eastAsia"/>
          <w:color w:val="FF0000"/>
          <w:lang w:val="en-US" w:eastAsia="zh-CN"/>
        </w:rPr>
        <w:t>前两</w:t>
      </w:r>
      <w:r>
        <w:rPr>
          <w:rFonts w:hint="eastAsia"/>
          <w:color w:val="FF0000"/>
        </w:rPr>
        <w:t>位的投标人为</w:t>
      </w:r>
      <w:r>
        <w:rPr>
          <w:rFonts w:hint="eastAsia"/>
          <w:color w:val="FF0000"/>
          <w:lang w:val="en-US" w:eastAsia="zh-CN"/>
        </w:rPr>
        <w:t>入围</w:t>
      </w:r>
      <w:r>
        <w:rPr>
          <w:rFonts w:hint="eastAsia"/>
          <w:color w:val="FF0000"/>
        </w:rPr>
        <w:t>方</w:t>
      </w:r>
      <w:r>
        <w:rPr>
          <w:rFonts w:hint="eastAsia"/>
          <w:color w:val="FF0000"/>
          <w:lang w:val="en-US" w:eastAsia="zh-CN"/>
        </w:rPr>
        <w:t>，再另约时间面谈后，最终确认中标方</w:t>
      </w:r>
      <w:r>
        <w:rPr>
          <w:rFonts w:hint="eastAsia"/>
          <w:color w:val="000000"/>
          <w:lang w:val="en-US" w:eastAsia="zh-CN"/>
        </w:rPr>
        <w:t>。</w:t>
      </w:r>
    </w:p>
    <w:p w14:paraId="6BFCDE48">
      <w:pPr>
        <w:pStyle w:val="12"/>
        <w:spacing w:before="156" w:after="156"/>
        <w:ind w:firstLine="480"/>
        <w:rPr>
          <w:color w:val="000000"/>
        </w:rPr>
      </w:pPr>
    </w:p>
    <w:p w14:paraId="5818216E">
      <w:pPr>
        <w:pStyle w:val="15"/>
        <w:ind w:firstLine="0" w:firstLineChars="0"/>
        <w:rPr>
          <w:color w:val="000000"/>
        </w:rPr>
      </w:pPr>
      <w:r>
        <w:rPr>
          <w:color w:val="000000"/>
        </w:rPr>
        <w:br w:type="page"/>
      </w:r>
      <w:r>
        <w:rPr>
          <w:rFonts w:hint="eastAsia"/>
          <w:color w:val="000000"/>
        </w:rPr>
        <w:t>第四部分  合同授予及付款方式</w:t>
      </w:r>
    </w:p>
    <w:p w14:paraId="1694880D">
      <w:pPr>
        <w:pStyle w:val="12"/>
        <w:numPr>
          <w:ilvl w:val="0"/>
          <w:numId w:val="12"/>
        </w:numPr>
        <w:spacing w:before="156" w:after="156"/>
        <w:ind w:firstLineChars="0"/>
        <w:rPr>
          <w:color w:val="000000"/>
        </w:rPr>
      </w:pPr>
      <w:r>
        <w:rPr>
          <w:rFonts w:hint="eastAsia"/>
          <w:color w:val="000000"/>
        </w:rPr>
        <w:t>中标通知书：</w:t>
      </w:r>
    </w:p>
    <w:p w14:paraId="02709949">
      <w:pPr>
        <w:pStyle w:val="12"/>
        <w:spacing w:before="156" w:after="156"/>
        <w:ind w:firstLine="480"/>
        <w:rPr>
          <w:color w:val="000000"/>
        </w:rPr>
      </w:pPr>
      <w:r>
        <w:rPr>
          <w:rFonts w:hint="eastAsia"/>
          <w:color w:val="000000"/>
        </w:rPr>
        <w:t>评标结束后，由招标方签发《中标通知书》。</w:t>
      </w:r>
    </w:p>
    <w:p w14:paraId="0C1DC1E2">
      <w:pPr>
        <w:pStyle w:val="12"/>
        <w:numPr>
          <w:ilvl w:val="0"/>
          <w:numId w:val="12"/>
        </w:numPr>
        <w:spacing w:before="156" w:after="156"/>
        <w:ind w:firstLineChars="0"/>
        <w:rPr>
          <w:color w:val="000000"/>
        </w:rPr>
      </w:pPr>
      <w:r>
        <w:rPr>
          <w:rFonts w:hint="eastAsia"/>
          <w:color w:val="000000"/>
        </w:rPr>
        <w:t>签订合同：</w:t>
      </w:r>
    </w:p>
    <w:p w14:paraId="4106BD1E">
      <w:pPr>
        <w:pStyle w:val="16"/>
        <w:numPr>
          <w:ilvl w:val="0"/>
          <w:numId w:val="13"/>
        </w:numPr>
        <w:spacing w:before="156" w:after="156"/>
        <w:ind w:firstLineChars="0"/>
        <w:rPr>
          <w:color w:val="000000"/>
        </w:rPr>
      </w:pPr>
      <w:r>
        <w:rPr>
          <w:rFonts w:hint="eastAsia"/>
          <w:color w:val="000000"/>
        </w:rPr>
        <w:t>中标方在接到《中标通知书》并缴纳相应的履约保证金后，招标方与中标方签订合同。</w:t>
      </w:r>
    </w:p>
    <w:p w14:paraId="197B7214">
      <w:pPr>
        <w:pStyle w:val="16"/>
        <w:numPr>
          <w:ilvl w:val="0"/>
          <w:numId w:val="13"/>
        </w:numPr>
        <w:spacing w:before="156" w:after="156"/>
        <w:ind w:firstLineChars="0"/>
        <w:rPr>
          <w:color w:val="000000"/>
        </w:rPr>
      </w:pPr>
      <w:r>
        <w:rPr>
          <w:rFonts w:hint="eastAsia"/>
          <w:color w:val="000000"/>
        </w:rPr>
        <w:t>中标方自行终止合同，或不能圆满（无原因）履行合同、或投标时弄虚作假而实际上所投物资达不到招标方要求，招标方有权取消其供货资格，并没收履约保证金。</w:t>
      </w:r>
    </w:p>
    <w:p w14:paraId="4F671007">
      <w:pPr>
        <w:pStyle w:val="15"/>
        <w:ind w:firstLine="0" w:firstLineChars="0"/>
        <w:jc w:val="both"/>
        <w:rPr>
          <w:color w:val="000000"/>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720" w:num="1"/>
          <w:titlePg/>
          <w:docGrid w:type="lines" w:linePitch="312" w:charSpace="0"/>
        </w:sectPr>
      </w:pPr>
    </w:p>
    <w:tbl>
      <w:tblPr>
        <w:tblStyle w:val="9"/>
        <w:tblW w:w="143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082"/>
        <w:gridCol w:w="881"/>
        <w:gridCol w:w="1509"/>
        <w:gridCol w:w="4983"/>
        <w:gridCol w:w="5106"/>
        <w:gridCol w:w="789"/>
      </w:tblGrid>
      <w:tr w14:paraId="2A61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490CF">
            <w:pPr>
              <w:keepNext w:val="0"/>
              <w:keepLines w:val="0"/>
              <w:widowControl/>
              <w:suppressLineNumbers w:val="0"/>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评分项</w:t>
            </w:r>
          </w:p>
        </w:tc>
        <w:tc>
          <w:tcPr>
            <w:tcW w:w="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37FAB">
            <w:pPr>
              <w:keepNext w:val="0"/>
              <w:keepLines w:val="0"/>
              <w:widowControl/>
              <w:suppressLineNumbers w:val="0"/>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D519F">
            <w:pPr>
              <w:keepNext w:val="0"/>
              <w:keepLines w:val="0"/>
              <w:widowControl/>
              <w:suppressLineNumbers w:val="0"/>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评分因素</w:t>
            </w:r>
          </w:p>
        </w:tc>
        <w:tc>
          <w:tcPr>
            <w:tcW w:w="4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1E274">
            <w:pPr>
              <w:keepNext w:val="0"/>
              <w:keepLines w:val="0"/>
              <w:widowControl/>
              <w:suppressLineNumbers w:val="0"/>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评分细则</w:t>
            </w:r>
          </w:p>
        </w:tc>
        <w:tc>
          <w:tcPr>
            <w:tcW w:w="5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84AC8">
            <w:pPr>
              <w:keepNext w:val="0"/>
              <w:keepLines w:val="0"/>
              <w:widowControl/>
              <w:suppressLineNumbers w:val="0"/>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功能要求</w:t>
            </w:r>
          </w:p>
        </w:tc>
        <w:tc>
          <w:tcPr>
            <w:tcW w:w="7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897CC">
            <w:pPr>
              <w:keepNext w:val="0"/>
              <w:keepLines w:val="0"/>
              <w:widowControl/>
              <w:suppressLineNumbers w:val="0"/>
              <w:snapToGrid w:val="0"/>
              <w:ind w:firstLine="0" w:firstLineChars="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总</w:t>
            </w:r>
            <w:r>
              <w:rPr>
                <w:rFonts w:hint="eastAsia" w:ascii="宋体" w:hAnsi="宋体" w:eastAsia="宋体" w:cs="宋体"/>
                <w:b/>
                <w:bCs/>
                <w:i w:val="0"/>
                <w:iCs w:val="0"/>
                <w:color w:val="000000"/>
                <w:kern w:val="0"/>
                <w:sz w:val="21"/>
                <w:szCs w:val="21"/>
                <w:u w:val="none"/>
                <w:lang w:val="en-US" w:eastAsia="zh-CN" w:bidi="ar"/>
              </w:rPr>
              <w:t>分值</w:t>
            </w:r>
            <w:r>
              <w:rPr>
                <w:rFonts w:hint="eastAsia" w:ascii="宋体" w:hAnsi="宋体" w:cs="宋体"/>
                <w:b/>
                <w:bCs/>
                <w:i w:val="0"/>
                <w:iCs w:val="0"/>
                <w:color w:val="000000"/>
                <w:kern w:val="0"/>
                <w:sz w:val="21"/>
                <w:szCs w:val="21"/>
                <w:u w:val="none"/>
                <w:lang w:val="en-US" w:eastAsia="zh-CN" w:bidi="ar"/>
              </w:rPr>
              <w:t>100</w:t>
            </w:r>
          </w:p>
        </w:tc>
      </w:tr>
      <w:tr w14:paraId="42CA5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nil"/>
              <w:right w:val="single" w:color="000000" w:sz="8" w:space="0"/>
            </w:tcBorders>
            <w:shd w:val="clear" w:color="auto" w:fill="auto"/>
            <w:vAlign w:val="center"/>
          </w:tcPr>
          <w:p w14:paraId="1500CCD5">
            <w:pPr>
              <w:keepNext w:val="0"/>
              <w:keepLines w:val="0"/>
              <w:widowControl/>
              <w:suppressLineNumbers w:val="0"/>
              <w:snapToGrid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技术部分</w:t>
            </w:r>
          </w:p>
        </w:tc>
        <w:tc>
          <w:tcPr>
            <w:tcW w:w="881" w:type="dxa"/>
            <w:vMerge w:val="restart"/>
            <w:tcBorders>
              <w:top w:val="nil"/>
              <w:left w:val="single" w:color="000000" w:sz="8" w:space="0"/>
              <w:bottom w:val="single" w:color="000000" w:sz="8" w:space="0"/>
              <w:right w:val="single" w:color="000000" w:sz="8" w:space="0"/>
            </w:tcBorders>
            <w:shd w:val="clear" w:color="auto" w:fill="auto"/>
            <w:noWrap/>
            <w:vAlign w:val="center"/>
          </w:tcPr>
          <w:p w14:paraId="576D1B83">
            <w:pPr>
              <w:snapToGrid w:val="0"/>
              <w:jc w:val="center"/>
              <w:rPr>
                <w:rFonts w:hint="eastAsia" w:ascii="宋体" w:hAnsi="宋体" w:eastAsia="宋体" w:cs="宋体"/>
                <w:i w:val="0"/>
                <w:iCs w:val="0"/>
                <w:color w:val="000000"/>
                <w:sz w:val="21"/>
                <w:szCs w:val="21"/>
                <w:u w:val="none"/>
              </w:rPr>
            </w:pPr>
          </w:p>
        </w:tc>
        <w:tc>
          <w:tcPr>
            <w:tcW w:w="1509" w:type="dxa"/>
            <w:vMerge w:val="restart"/>
            <w:tcBorders>
              <w:top w:val="nil"/>
              <w:left w:val="single" w:color="000000" w:sz="8" w:space="0"/>
              <w:bottom w:val="single" w:color="000000" w:sz="8" w:space="0"/>
              <w:right w:val="single" w:color="000000" w:sz="8" w:space="0"/>
            </w:tcBorders>
            <w:shd w:val="clear" w:color="auto" w:fill="auto"/>
            <w:vAlign w:val="center"/>
          </w:tcPr>
          <w:p w14:paraId="2C4FC187">
            <w:pPr>
              <w:snapToGrid w:val="0"/>
              <w:jc w:val="left"/>
              <w:rPr>
                <w:rFonts w:hint="eastAsia" w:ascii="宋体" w:hAnsi="宋体" w:eastAsia="宋体" w:cs="宋体"/>
                <w:i w:val="0"/>
                <w:iCs w:val="0"/>
                <w:color w:val="000000"/>
                <w:sz w:val="21"/>
                <w:szCs w:val="21"/>
                <w:u w:val="none"/>
              </w:rPr>
            </w:pPr>
          </w:p>
        </w:tc>
        <w:tc>
          <w:tcPr>
            <w:tcW w:w="10089" w:type="dxa"/>
            <w:gridSpan w:val="2"/>
            <w:vMerge w:val="restart"/>
            <w:tcBorders>
              <w:top w:val="nil"/>
              <w:left w:val="single" w:color="000000" w:sz="8" w:space="0"/>
              <w:right w:val="single" w:color="000000" w:sz="8" w:space="0"/>
            </w:tcBorders>
            <w:shd w:val="clear" w:color="auto" w:fill="auto"/>
            <w:vAlign w:val="center"/>
          </w:tcPr>
          <w:p w14:paraId="5BF9F06D">
            <w:pPr>
              <w:snapToGrid w:val="0"/>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FF0000"/>
                <w:kern w:val="0"/>
                <w:sz w:val="21"/>
                <w:szCs w:val="21"/>
                <w:u w:val="none"/>
                <w:lang w:val="en-US" w:eastAsia="zh-CN" w:bidi="ar"/>
              </w:rPr>
              <w:t>本项目功能模块需一体化设计开发，不得分包转包，如有发现分包转包</w:t>
            </w:r>
            <w:r>
              <w:rPr>
                <w:rFonts w:hint="eastAsia" w:ascii="宋体" w:hAnsi="宋体" w:cs="宋体"/>
                <w:i w:val="0"/>
                <w:iCs w:val="0"/>
                <w:color w:val="FF0000"/>
                <w:kern w:val="0"/>
                <w:sz w:val="21"/>
                <w:szCs w:val="21"/>
                <w:u w:val="none"/>
                <w:lang w:val="en-US" w:eastAsia="zh-CN" w:bidi="ar"/>
              </w:rPr>
              <w:t>厂商</w:t>
            </w:r>
            <w:r>
              <w:rPr>
                <w:rFonts w:hint="eastAsia" w:ascii="宋体" w:hAnsi="宋体" w:eastAsia="宋体" w:cs="宋体"/>
                <w:i w:val="0"/>
                <w:iCs w:val="0"/>
                <w:color w:val="FF0000"/>
                <w:kern w:val="0"/>
                <w:sz w:val="21"/>
                <w:szCs w:val="21"/>
                <w:u w:val="none"/>
                <w:lang w:val="en-US" w:eastAsia="zh-CN" w:bidi="ar"/>
              </w:rPr>
              <w:t>即刻终止招投标，如已经签订合同立即终止合同并按照违约</w:t>
            </w:r>
            <w:r>
              <w:rPr>
                <w:rFonts w:hint="eastAsia" w:ascii="宋体" w:hAnsi="宋体" w:cs="宋体"/>
                <w:i w:val="0"/>
                <w:iCs w:val="0"/>
                <w:color w:val="FF0000"/>
                <w:kern w:val="0"/>
                <w:sz w:val="21"/>
                <w:szCs w:val="21"/>
                <w:u w:val="none"/>
                <w:lang w:val="en-US" w:eastAsia="zh-CN" w:bidi="ar"/>
              </w:rPr>
              <w:t>和对有关客户的影响</w:t>
            </w:r>
            <w:r>
              <w:rPr>
                <w:rFonts w:hint="eastAsia" w:ascii="宋体" w:hAnsi="宋体" w:eastAsia="宋体" w:cs="宋体"/>
                <w:i w:val="0"/>
                <w:iCs w:val="0"/>
                <w:color w:val="FF0000"/>
                <w:kern w:val="0"/>
                <w:sz w:val="21"/>
                <w:szCs w:val="21"/>
                <w:u w:val="none"/>
                <w:lang w:val="en-US" w:eastAsia="zh-CN" w:bidi="ar"/>
              </w:rPr>
              <w:t>索赔。</w:t>
            </w:r>
          </w:p>
        </w:tc>
        <w:tc>
          <w:tcPr>
            <w:tcW w:w="789" w:type="dxa"/>
            <w:vMerge w:val="restart"/>
            <w:tcBorders>
              <w:top w:val="nil"/>
              <w:left w:val="single" w:color="000000" w:sz="8" w:space="0"/>
              <w:bottom w:val="single" w:color="000000" w:sz="8" w:space="0"/>
              <w:right w:val="single" w:color="000000" w:sz="8" w:space="0"/>
            </w:tcBorders>
            <w:shd w:val="clear" w:color="auto" w:fill="auto"/>
            <w:noWrap/>
            <w:vAlign w:val="center"/>
          </w:tcPr>
          <w:p w14:paraId="27F64A84">
            <w:pPr>
              <w:snapToGrid w:val="0"/>
              <w:jc w:val="right"/>
              <w:rPr>
                <w:rFonts w:hint="default" w:ascii="宋体" w:hAnsi="宋体" w:eastAsia="宋体" w:cs="宋体"/>
                <w:i w:val="0"/>
                <w:iCs w:val="0"/>
                <w:color w:val="000000"/>
                <w:sz w:val="21"/>
                <w:szCs w:val="21"/>
                <w:u w:val="none"/>
                <w:lang w:val="en-US" w:eastAsia="zh-CN"/>
              </w:rPr>
            </w:pPr>
          </w:p>
        </w:tc>
      </w:tr>
      <w:tr w14:paraId="7593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370A48EE">
            <w:pPr>
              <w:keepNext w:val="0"/>
              <w:keepLines w:val="0"/>
              <w:widowControl/>
              <w:suppressLineNumbers w:val="0"/>
              <w:snapToGrid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70</w:t>
            </w:r>
            <w:r>
              <w:rPr>
                <w:rFonts w:hint="eastAsia" w:ascii="宋体" w:hAnsi="宋体" w:eastAsia="宋体" w:cs="宋体"/>
                <w:i w:val="0"/>
                <w:iCs w:val="0"/>
                <w:color w:val="000000"/>
                <w:kern w:val="0"/>
                <w:sz w:val="21"/>
                <w:szCs w:val="21"/>
                <w:u w:val="none"/>
                <w:lang w:val="en-US" w:eastAsia="zh-CN" w:bidi="ar"/>
              </w:rPr>
              <w:t>0分）</w:t>
            </w:r>
          </w:p>
        </w:tc>
        <w:tc>
          <w:tcPr>
            <w:tcW w:w="881"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81FD95">
            <w:pPr>
              <w:snapToGrid w:val="0"/>
              <w:jc w:val="center"/>
              <w:rPr>
                <w:rFonts w:hint="eastAsia" w:ascii="宋体" w:hAnsi="宋体" w:eastAsia="宋体" w:cs="宋体"/>
                <w:i w:val="0"/>
                <w:iCs w:val="0"/>
                <w:color w:val="000000"/>
                <w:sz w:val="21"/>
                <w:szCs w:val="21"/>
                <w:u w:val="none"/>
              </w:rPr>
            </w:pPr>
          </w:p>
        </w:tc>
        <w:tc>
          <w:tcPr>
            <w:tcW w:w="1509" w:type="dxa"/>
            <w:vMerge w:val="continue"/>
            <w:tcBorders>
              <w:top w:val="nil"/>
              <w:left w:val="single" w:color="000000" w:sz="8" w:space="0"/>
              <w:bottom w:val="single" w:color="000000" w:sz="8" w:space="0"/>
              <w:right w:val="single" w:color="000000" w:sz="8" w:space="0"/>
            </w:tcBorders>
            <w:shd w:val="clear" w:color="auto" w:fill="auto"/>
            <w:vAlign w:val="center"/>
          </w:tcPr>
          <w:p w14:paraId="40E887F2">
            <w:pPr>
              <w:snapToGrid w:val="0"/>
              <w:jc w:val="left"/>
              <w:rPr>
                <w:rFonts w:hint="eastAsia" w:ascii="宋体" w:hAnsi="宋体" w:eastAsia="宋体" w:cs="宋体"/>
                <w:i w:val="0"/>
                <w:iCs w:val="0"/>
                <w:color w:val="000000"/>
                <w:sz w:val="21"/>
                <w:szCs w:val="21"/>
                <w:u w:val="none"/>
              </w:rPr>
            </w:pPr>
          </w:p>
        </w:tc>
        <w:tc>
          <w:tcPr>
            <w:tcW w:w="10089" w:type="dxa"/>
            <w:gridSpan w:val="2"/>
            <w:vMerge w:val="continue"/>
            <w:tcBorders>
              <w:left w:val="single" w:color="000000" w:sz="8" w:space="0"/>
              <w:bottom w:val="single" w:color="000000" w:sz="8" w:space="0"/>
              <w:right w:val="single" w:color="000000" w:sz="8" w:space="0"/>
            </w:tcBorders>
            <w:shd w:val="clear" w:color="auto" w:fill="auto"/>
            <w:vAlign w:val="center"/>
          </w:tcPr>
          <w:p w14:paraId="757546CA">
            <w:pPr>
              <w:snapToGrid w:val="0"/>
              <w:jc w:val="left"/>
              <w:rPr>
                <w:rFonts w:hint="eastAsia" w:ascii="宋体" w:hAnsi="宋体" w:eastAsia="宋体" w:cs="宋体"/>
                <w:i w:val="0"/>
                <w:iCs w:val="0"/>
                <w:color w:val="000000"/>
                <w:sz w:val="21"/>
                <w:szCs w:val="21"/>
                <w:u w:val="none"/>
              </w:rPr>
            </w:pPr>
          </w:p>
        </w:tc>
        <w:tc>
          <w:tcPr>
            <w:tcW w:w="78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6C11FA">
            <w:pPr>
              <w:snapToGrid w:val="0"/>
              <w:jc w:val="right"/>
              <w:rPr>
                <w:rFonts w:hint="eastAsia" w:ascii="宋体" w:hAnsi="宋体" w:eastAsia="宋体" w:cs="宋体"/>
                <w:i w:val="0"/>
                <w:iCs w:val="0"/>
                <w:color w:val="000000"/>
                <w:sz w:val="21"/>
                <w:szCs w:val="21"/>
                <w:u w:val="none"/>
              </w:rPr>
            </w:pPr>
          </w:p>
        </w:tc>
      </w:tr>
      <w:tr w14:paraId="2A9C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45DB390E">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1C110330">
            <w:pPr>
              <w:snapToGrid w:val="0"/>
              <w:jc w:val="center"/>
              <w:rPr>
                <w:rFonts w:hint="eastAsia" w:ascii="宋体" w:hAnsi="宋体" w:eastAsia="宋体" w:cs="宋体"/>
                <w:i w:val="0"/>
                <w:iCs w:val="0"/>
                <w:color w:val="000000"/>
                <w:sz w:val="21"/>
                <w:szCs w:val="21"/>
                <w:u w:val="none"/>
              </w:rPr>
            </w:pP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36FABE0C">
            <w:pPr>
              <w:keepNext w:val="0"/>
              <w:keepLines w:val="0"/>
              <w:widowControl/>
              <w:suppressLineNumbers w:val="0"/>
              <w:snapToGrid w:val="0"/>
              <w:ind w:firstLine="0" w:firstLineChars="0"/>
              <w:jc w:val="left"/>
              <w:textAlignment w:val="top"/>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多机构项目建设范围适配能力</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641C4372">
            <w:pPr>
              <w:keepNext w:val="0"/>
              <w:keepLines w:val="0"/>
              <w:widowControl/>
              <w:suppressLineNumbers w:val="0"/>
              <w:snapToGrid w:val="0"/>
              <w:jc w:val="left"/>
              <w:textAlignment w:val="top"/>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完全响应本项目多院区建设范围、多机构部署要求，建设方案完整、落地性强得满分；基本响应、部分内容不完善扣1-3分；核心范围未覆盖、方案缺失严重不得分。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21F9FEFC">
            <w:pPr>
              <w:snapToGrid w:val="0"/>
              <w:jc w:val="left"/>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建设线上预约挂号、缴费第二服务通道，为患者提供多重服务选择；2. 覆盖淮南东方医院集团总医院（已持互联网医院牌照，含门诊住院全流程挂缴查）、肿瘤医院、凤凰医院、广济医院、新庄孜医院（四家分院实现线下挂缴查全覆盖，补齐无互联网医院服务短板）；3. 适配集团多机构统一建设、独立运营的整体架构。</w:t>
            </w: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6ACDADA6">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w:t>
            </w:r>
          </w:p>
        </w:tc>
      </w:tr>
      <w:tr w14:paraId="357C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2715B2E4">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387B53B9">
            <w:pPr>
              <w:snapToGrid w:val="0"/>
              <w:jc w:val="center"/>
              <w:rPr>
                <w:rFonts w:hint="eastAsia" w:ascii="宋体" w:hAnsi="宋体" w:eastAsia="宋体" w:cs="宋体"/>
                <w:i w:val="0"/>
                <w:iCs w:val="0"/>
                <w:color w:val="000000"/>
                <w:sz w:val="21"/>
                <w:szCs w:val="21"/>
                <w:u w:val="none"/>
              </w:rPr>
            </w:pP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570A1BB9">
            <w:pPr>
              <w:keepNext w:val="0"/>
              <w:keepLines w:val="0"/>
              <w:widowControl/>
              <w:suppressLineNumbers w:val="0"/>
              <w:snapToGrid w:val="0"/>
              <w:ind w:firstLine="0" w:firstLineChars="0"/>
              <w:jc w:val="left"/>
              <w:textAlignment w:val="top"/>
              <w:rPr>
                <w:rFonts w:hint="eastAsia" w:ascii="宋体" w:hAnsi="宋体" w:eastAsia="宋体" w:cs="宋体"/>
                <w:i w:val="0"/>
                <w:iCs w:val="0"/>
                <w:color w:val="000000"/>
                <w:kern w:val="0"/>
                <w:sz w:val="21"/>
                <w:szCs w:val="21"/>
                <w:u w:val="none"/>
                <w:lang w:val="en-US" w:eastAsia="zh-CN" w:bidi="ar"/>
              </w:rPr>
            </w:pPr>
            <w:r>
              <w:rPr>
                <w:rFonts w:ascii="宋体" w:hAnsi="宋体" w:eastAsia="宋体" w:cs="宋体"/>
                <w:kern w:val="0"/>
                <w:sz w:val="20"/>
                <w:szCs w:val="20"/>
                <w:lang w:val="en-US" w:eastAsia="zh-CN" w:bidi="ar"/>
              </w:rPr>
              <w:t>场景便民服务功能建设</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5BBC0E9D">
            <w:pPr>
              <w:keepNext w:val="0"/>
              <w:keepLines w:val="0"/>
              <w:widowControl/>
              <w:suppressLineNumbers w:val="0"/>
              <w:snapToGrid w:val="0"/>
              <w:jc w:val="left"/>
              <w:textAlignment w:val="top"/>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完整实现全部便民服务功能，适配智慧服务三级评级及安徽省互联网诊疗质控要求得满分；每缺失1项核心功能扣0.5分，功能不完善、不符合省级规范酌情扣分。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4D2AD27C">
            <w:pPr>
              <w:snapToGrid w:val="0"/>
              <w:jc w:val="left"/>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实现全品类便民医疗服务：在线挂号、在线缴费、检验检查报告查看、数字影像查看、住院押金缴费、医保移动支付、自助医技预约、病案邮寄、轮椅租赁、慢病开药、自助开单、线上退费退号、就诊评价打分、老年适配模式、电子发票、医保一码支付、医保信用支付；支持患者知情同意书CA电子签章；搭建H5端挂缴查服务端口，所有功能严格满足智慧服务评级三级、《安徽省互联网医院管理办法(试行)》质控标准。</w:t>
            </w: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5D310AAE">
            <w:pPr>
              <w:keepNext w:val="0"/>
              <w:keepLines w:val="0"/>
              <w:widowControl/>
              <w:suppressLineNumbers w:val="0"/>
              <w:snapToGrid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r>
      <w:tr w14:paraId="3DEFA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712E4CAD">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267228EC">
            <w:pPr>
              <w:snapToGrid w:val="0"/>
              <w:jc w:val="center"/>
              <w:rPr>
                <w:rFonts w:hint="eastAsia" w:ascii="宋体" w:hAnsi="宋体" w:eastAsia="宋体" w:cs="宋体"/>
                <w:i w:val="0"/>
                <w:iCs w:val="0"/>
                <w:color w:val="000000"/>
                <w:sz w:val="21"/>
                <w:szCs w:val="21"/>
                <w:u w:val="none"/>
              </w:rPr>
            </w:pP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48A25F4B">
            <w:pPr>
              <w:keepNext w:val="0"/>
              <w:keepLines w:val="0"/>
              <w:widowControl/>
              <w:suppressLineNumbers w:val="0"/>
              <w:snapToGrid w:val="0"/>
              <w:ind w:firstLine="0" w:firstLineChars="0"/>
              <w:jc w:val="left"/>
              <w:textAlignment w:val="top"/>
              <w:rPr>
                <w:rFonts w:hint="eastAsia" w:ascii="宋体" w:hAnsi="宋体" w:eastAsia="宋体" w:cs="宋体"/>
                <w:i w:val="0"/>
                <w:iCs w:val="0"/>
                <w:color w:val="000000"/>
                <w:kern w:val="0"/>
                <w:sz w:val="21"/>
                <w:szCs w:val="21"/>
                <w:u w:val="none"/>
                <w:lang w:val="en-US" w:eastAsia="zh-CN" w:bidi="ar"/>
              </w:rPr>
            </w:pPr>
            <w:r>
              <w:rPr>
                <w:rFonts w:ascii="宋体" w:hAnsi="宋体" w:eastAsia="宋体" w:cs="宋体"/>
                <w:kern w:val="0"/>
                <w:sz w:val="20"/>
                <w:szCs w:val="20"/>
                <w:lang w:val="en-US" w:eastAsia="zh-CN" w:bidi="ar"/>
              </w:rPr>
              <w:t>支付与集团对账系统对接能力</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104AC436">
            <w:pPr>
              <w:keepNext w:val="0"/>
              <w:keepLines w:val="0"/>
              <w:widowControl/>
              <w:suppressLineNumbers w:val="0"/>
              <w:snapToGrid w:val="0"/>
              <w:jc w:val="left"/>
              <w:textAlignment w:val="top"/>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完整实现银行聚合支付、集团统一对账功能，数据精准、对账逻辑清晰得满分；对接方案不完善、数据统计缺失、对账功能不全酌情扣分。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5636B03A">
            <w:pPr>
              <w:snapToGrid w:val="0"/>
              <w:jc w:val="left"/>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小程序集成医院全新银行聚合支付系统，深度对接集团统一对账系统，实现线上交易资金统一归集、明细核对、账务自动清算，保障多院区支付数据规范管理。</w:t>
            </w: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58A286D3">
            <w:pPr>
              <w:keepNext w:val="0"/>
              <w:keepLines w:val="0"/>
              <w:widowControl/>
              <w:suppressLineNumbers w:val="0"/>
              <w:snapToGrid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r>
      <w:tr w14:paraId="0E85B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7FEB13AD">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0479AB75">
            <w:pPr>
              <w:snapToGrid w:val="0"/>
              <w:jc w:val="center"/>
              <w:rPr>
                <w:rFonts w:hint="eastAsia" w:ascii="宋体" w:hAnsi="宋体" w:eastAsia="宋体" w:cs="宋体"/>
                <w:i w:val="0"/>
                <w:iCs w:val="0"/>
                <w:color w:val="000000"/>
                <w:sz w:val="21"/>
                <w:szCs w:val="21"/>
                <w:u w:val="none"/>
              </w:rPr>
            </w:pP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4EF27450">
            <w:pPr>
              <w:keepNext w:val="0"/>
              <w:keepLines w:val="0"/>
              <w:widowControl/>
              <w:suppressLineNumbers w:val="0"/>
              <w:snapToGrid w:val="0"/>
              <w:ind w:firstLine="0" w:firstLineChars="0"/>
              <w:jc w:val="left"/>
              <w:textAlignment w:val="top"/>
              <w:rPr>
                <w:rFonts w:hint="eastAsia" w:ascii="宋体" w:hAnsi="宋体" w:eastAsia="宋体" w:cs="宋体"/>
                <w:i w:val="0"/>
                <w:iCs w:val="0"/>
                <w:color w:val="000000"/>
                <w:kern w:val="0"/>
                <w:sz w:val="21"/>
                <w:szCs w:val="21"/>
                <w:u w:val="none"/>
                <w:lang w:val="en-US" w:eastAsia="zh-CN" w:bidi="ar"/>
              </w:rPr>
            </w:pPr>
            <w:r>
              <w:rPr>
                <w:rFonts w:ascii="宋体" w:hAnsi="宋体" w:eastAsia="宋体" w:cs="宋体"/>
                <w:kern w:val="0"/>
                <w:sz w:val="20"/>
                <w:szCs w:val="20"/>
                <w:lang w:val="en-US" w:eastAsia="zh-CN" w:bidi="ar"/>
              </w:rPr>
              <w:t>高端会员及专属服务功能</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7A3E2FC6">
            <w:pPr>
              <w:keepNext w:val="0"/>
              <w:keepLines w:val="0"/>
              <w:widowControl/>
              <w:suppressLineNumbers w:val="0"/>
              <w:snapToGrid w:val="0"/>
              <w:jc w:val="left"/>
              <w:textAlignment w:val="top"/>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完整实现会员体系及1对1专属服务，功能落地性强得满分；会员功能缺失、VIP专属服务不完善酌情扣分。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2B5D5C60">
            <w:pPr>
              <w:snapToGrid w:val="0"/>
              <w:jc w:val="left"/>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搭建患者高级会员体系，配置1对1人工健康指导服务；支持VIP患者提前挂号、优先加号、插号等专属就医权益，提升高端患者就医服务体验。</w:t>
            </w: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2EBF9C52">
            <w:pPr>
              <w:keepNext w:val="0"/>
              <w:keepLines w:val="0"/>
              <w:widowControl/>
              <w:suppressLineNumbers w:val="0"/>
              <w:snapToGrid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14:paraId="0DD2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7CB3E98C">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59CF9AA7">
            <w:pPr>
              <w:snapToGrid w:val="0"/>
              <w:jc w:val="center"/>
              <w:rPr>
                <w:rFonts w:hint="eastAsia" w:ascii="宋体" w:hAnsi="宋体" w:eastAsia="宋体" w:cs="宋体"/>
                <w:i w:val="0"/>
                <w:iCs w:val="0"/>
                <w:color w:val="000000"/>
                <w:sz w:val="21"/>
                <w:szCs w:val="21"/>
                <w:u w:val="none"/>
              </w:rPr>
            </w:pP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10134C28">
            <w:pPr>
              <w:keepNext w:val="0"/>
              <w:keepLines w:val="0"/>
              <w:widowControl/>
              <w:suppressLineNumbers w:val="0"/>
              <w:snapToGrid w:val="0"/>
              <w:ind w:firstLine="0" w:firstLineChars="0"/>
              <w:jc w:val="left"/>
              <w:textAlignment w:val="top"/>
              <w:rPr>
                <w:rFonts w:hint="eastAsia" w:ascii="宋体" w:hAnsi="宋体" w:eastAsia="宋体" w:cs="宋体"/>
                <w:i w:val="0"/>
                <w:iCs w:val="0"/>
                <w:color w:val="000000"/>
                <w:kern w:val="0"/>
                <w:sz w:val="21"/>
                <w:szCs w:val="21"/>
                <w:u w:val="none"/>
                <w:lang w:val="en-US" w:eastAsia="zh-CN" w:bidi="ar"/>
              </w:rPr>
            </w:pPr>
            <w:r>
              <w:rPr>
                <w:rFonts w:ascii="宋体" w:hAnsi="宋体" w:eastAsia="宋体" w:cs="宋体"/>
                <w:kern w:val="0"/>
                <w:sz w:val="20"/>
                <w:szCs w:val="20"/>
                <w:lang w:val="en-US" w:eastAsia="zh-CN" w:bidi="ar"/>
              </w:rPr>
              <w:t>互联网医院互通及省平台对接能力</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48EA7192">
            <w:pPr>
              <w:keepNext w:val="0"/>
              <w:keepLines w:val="0"/>
              <w:widowControl/>
              <w:suppressLineNumbers w:val="0"/>
              <w:snapToGrid w:val="0"/>
              <w:jc w:val="left"/>
              <w:textAlignment w:val="top"/>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全流程互通、数据回写、省平台推送功能完整合规得满分；互通链路缺失、数据回写不完整、未适配省监管要求酌情扣分。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28DB8DC0">
            <w:pPr>
              <w:snapToGrid w:val="0"/>
              <w:jc w:val="left"/>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实现互联网医院全业务互通，覆盖线上问诊、电子处方、在线结算、送药上门、居家上门服务、检查预约等服务；药品库存精准识别、发药状态标记；处方、病历数据实时回写医院HIS+EMR系统；全面打通省卫健委互联网医院监管平台，按要求自动推送电子处方及诊疗数据。</w:t>
            </w: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79CFC275">
            <w:pPr>
              <w:keepNext w:val="0"/>
              <w:keepLines w:val="0"/>
              <w:widowControl/>
              <w:suppressLineNumbers w:val="0"/>
              <w:snapToGrid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r>
      <w:tr w14:paraId="73BE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5E3ED534">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5BF9E24B">
            <w:pPr>
              <w:snapToGrid w:val="0"/>
              <w:jc w:val="center"/>
              <w:rPr>
                <w:rFonts w:hint="eastAsia" w:ascii="宋体" w:hAnsi="宋体" w:eastAsia="宋体" w:cs="宋体"/>
                <w:i w:val="0"/>
                <w:iCs w:val="0"/>
                <w:color w:val="000000"/>
                <w:sz w:val="21"/>
                <w:szCs w:val="21"/>
                <w:u w:val="none"/>
              </w:rPr>
            </w:pP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37C3797C">
            <w:pPr>
              <w:keepNext w:val="0"/>
              <w:keepLines w:val="0"/>
              <w:widowControl/>
              <w:suppressLineNumbers w:val="0"/>
              <w:snapToGrid w:val="0"/>
              <w:ind w:firstLine="0" w:firstLineChars="0"/>
              <w:jc w:val="left"/>
              <w:textAlignment w:val="top"/>
              <w:rPr>
                <w:rFonts w:hint="eastAsia" w:ascii="宋体" w:hAnsi="宋体" w:eastAsia="宋体" w:cs="宋体"/>
                <w:i w:val="0"/>
                <w:iCs w:val="0"/>
                <w:color w:val="000000"/>
                <w:kern w:val="0"/>
                <w:sz w:val="21"/>
                <w:szCs w:val="21"/>
                <w:u w:val="none"/>
                <w:lang w:val="en-US" w:eastAsia="zh-CN" w:bidi="ar"/>
              </w:rPr>
            </w:pPr>
            <w:r>
              <w:rPr>
                <w:rFonts w:ascii="宋体" w:hAnsi="宋体" w:eastAsia="宋体" w:cs="宋体"/>
                <w:kern w:val="0"/>
                <w:sz w:val="20"/>
                <w:szCs w:val="20"/>
                <w:lang w:val="en-US" w:eastAsia="zh-CN" w:bidi="ar"/>
              </w:rPr>
              <w:t>简易交互与慢病公益服务能力</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2F909ABE">
            <w:pPr>
              <w:keepNext w:val="0"/>
              <w:keepLines w:val="0"/>
              <w:widowControl/>
              <w:suppressLineNumbers w:val="0"/>
              <w:snapToGrid w:val="0"/>
              <w:jc w:val="left"/>
              <w:textAlignment w:val="top"/>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交互设计简洁、患者业务全覆盖，慢病免费申报服务落地到位得满分；操作繁琐、业务覆盖不全、公益服务缺失酌情扣分。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69175CA6">
            <w:pPr>
              <w:snapToGrid w:val="0"/>
              <w:jc w:val="left"/>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采用轻量化交互设计，实现患者全业务线上办理，打造一站式患者健康管家服务平台；支持患者线上自主申请慢病辅助申报，由接诊医生免费协助完成申报工作，无额外收费</w:t>
            </w:r>
            <w:r>
              <w:rPr>
                <w:rFonts w:hint="eastAsia" w:ascii="宋体" w:hAnsi="宋体" w:cs="宋体"/>
                <w:kern w:val="0"/>
                <w:sz w:val="20"/>
                <w:szCs w:val="20"/>
                <w:lang w:val="en-US" w:eastAsia="zh-CN" w:bidi="ar"/>
              </w:rPr>
              <w:t>并统计医生工作</w:t>
            </w:r>
            <w:r>
              <w:rPr>
                <w:rFonts w:ascii="宋体" w:hAnsi="宋体" w:eastAsia="宋体" w:cs="宋体"/>
                <w:kern w:val="0"/>
                <w:sz w:val="20"/>
                <w:szCs w:val="20"/>
                <w:lang w:val="en-US" w:eastAsia="zh-CN" w:bidi="ar"/>
              </w:rPr>
              <w:t>。</w:t>
            </w: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1A1BF193">
            <w:pPr>
              <w:keepNext w:val="0"/>
              <w:keepLines w:val="0"/>
              <w:widowControl/>
              <w:suppressLineNumbers w:val="0"/>
              <w:snapToGrid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r>
      <w:tr w14:paraId="3326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38CFC382">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66AB612F">
            <w:pPr>
              <w:snapToGrid w:val="0"/>
              <w:jc w:val="center"/>
              <w:rPr>
                <w:rFonts w:hint="eastAsia" w:ascii="宋体" w:hAnsi="宋体" w:eastAsia="宋体" w:cs="宋体"/>
                <w:i w:val="0"/>
                <w:iCs w:val="0"/>
                <w:color w:val="000000"/>
                <w:sz w:val="21"/>
                <w:szCs w:val="21"/>
                <w:u w:val="none"/>
              </w:rPr>
            </w:pP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26BC91B1">
            <w:pPr>
              <w:keepNext w:val="0"/>
              <w:keepLines w:val="0"/>
              <w:widowControl/>
              <w:suppressLineNumbers w:val="0"/>
              <w:snapToGrid w:val="0"/>
              <w:ind w:firstLine="0" w:firstLineChars="0"/>
              <w:jc w:val="left"/>
              <w:textAlignment w:val="top"/>
              <w:rPr>
                <w:rFonts w:hint="eastAsia" w:ascii="宋体" w:hAnsi="宋体" w:eastAsia="宋体" w:cs="宋体"/>
                <w:i w:val="0"/>
                <w:iCs w:val="0"/>
                <w:color w:val="000000"/>
                <w:kern w:val="0"/>
                <w:sz w:val="21"/>
                <w:szCs w:val="21"/>
                <w:u w:val="none"/>
                <w:lang w:val="en-US" w:eastAsia="zh-CN" w:bidi="ar"/>
              </w:rPr>
            </w:pPr>
            <w:r>
              <w:rPr>
                <w:rFonts w:ascii="宋体" w:hAnsi="宋体" w:eastAsia="宋体" w:cs="宋体"/>
                <w:kern w:val="0"/>
                <w:sz w:val="20"/>
                <w:szCs w:val="20"/>
                <w:lang w:val="en-US" w:eastAsia="zh-CN" w:bidi="ar"/>
              </w:rPr>
              <w:t>医保支付合规升级建设</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4930773A">
            <w:pPr>
              <w:keepNext w:val="0"/>
              <w:keepLines w:val="0"/>
              <w:widowControl/>
              <w:suppressLineNumbers w:val="0"/>
              <w:snapToGrid w:val="0"/>
              <w:jc w:val="left"/>
              <w:textAlignment w:val="top"/>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完全对标国家医保局最新标准，医保支付功能完善合规得满分；未对标最新标准、医保功能存在漏洞、适配性不足酌情扣分。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2C0189CF">
            <w:pPr>
              <w:snapToGrid w:val="0"/>
              <w:jc w:val="left"/>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严格依据国家医保局最新建设规范，升级完善互联网医院在线医保支付全流程功能，保障医保移动支付、信用支付、一码支付合规落地，符合国家医保监管要求。</w:t>
            </w: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1656F2B8">
            <w:pPr>
              <w:keepNext w:val="0"/>
              <w:keepLines w:val="0"/>
              <w:widowControl/>
              <w:suppressLineNumbers w:val="0"/>
              <w:snapToGrid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r>
      <w:tr w14:paraId="705B0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3024BA9A">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33CD7F9E">
            <w:pPr>
              <w:snapToGrid w:val="0"/>
              <w:jc w:val="center"/>
              <w:rPr>
                <w:rFonts w:hint="eastAsia" w:ascii="宋体" w:hAnsi="宋体" w:eastAsia="宋体" w:cs="宋体"/>
                <w:i w:val="0"/>
                <w:iCs w:val="0"/>
                <w:color w:val="000000"/>
                <w:sz w:val="21"/>
                <w:szCs w:val="21"/>
                <w:u w:val="none"/>
              </w:rPr>
            </w:pP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68AC618C">
            <w:pPr>
              <w:keepNext w:val="0"/>
              <w:keepLines w:val="0"/>
              <w:widowControl/>
              <w:suppressLineNumbers w:val="0"/>
              <w:snapToGrid w:val="0"/>
              <w:ind w:firstLine="0" w:firstLineChars="0"/>
              <w:jc w:val="left"/>
              <w:textAlignment w:val="top"/>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住院全流程线上服务建设</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7B9B0432">
            <w:pPr>
              <w:keepNext w:val="0"/>
              <w:keepLines w:val="0"/>
              <w:widowControl/>
              <w:suppressLineNumbers w:val="0"/>
              <w:snapToGrid w:val="0"/>
              <w:jc w:val="left"/>
              <w:textAlignment w:val="top"/>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住院线上服务功能全覆盖、流程顺畅得满分；核心住院功能缺失、服务链路不完整酌情扣分。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625F4049">
            <w:pPr>
              <w:keepNext w:val="0"/>
              <w:keepLines w:val="0"/>
              <w:widowControl/>
              <w:suppressLineNumbers w:val="0"/>
              <w:snapToGrid w:val="0"/>
              <w:jc w:val="left"/>
              <w:textAlignment w:val="top"/>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搭建完整住院在线服务体系，支持手机线上办理入出院手续、住院押金在线缴纳、住院每日清单实时查询、手术智能提醒、检查报告线上查看、住院健康宣教推送等全流程服务。</w:t>
            </w: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637EAE1A">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r>
      <w:tr w14:paraId="4268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173138BE">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3C4A32E3">
            <w:pPr>
              <w:snapToGrid w:val="0"/>
              <w:jc w:val="center"/>
              <w:rPr>
                <w:rFonts w:hint="eastAsia" w:ascii="宋体" w:hAnsi="宋体" w:eastAsia="宋体" w:cs="宋体"/>
                <w:i w:val="0"/>
                <w:iCs w:val="0"/>
                <w:color w:val="000000"/>
                <w:sz w:val="21"/>
                <w:szCs w:val="21"/>
                <w:u w:val="none"/>
              </w:rPr>
            </w:pP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57D5C179">
            <w:pPr>
              <w:keepNext w:val="0"/>
              <w:keepLines w:val="0"/>
              <w:widowControl/>
              <w:suppressLineNumbers w:val="0"/>
              <w:snapToGrid w:val="0"/>
              <w:ind w:firstLine="0" w:firstLineChars="0"/>
              <w:jc w:val="left"/>
              <w:textAlignment w:val="top"/>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集团处方流转与药房结算功能</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4F297041">
            <w:pPr>
              <w:keepNext w:val="0"/>
              <w:keepLines w:val="0"/>
              <w:widowControl/>
              <w:suppressLineNumbers w:val="0"/>
              <w:snapToGrid w:val="0"/>
              <w:jc w:val="left"/>
              <w:textAlignment w:val="top"/>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处方流转、医保结算、差异化计费规则完整落地得满分；流转链路不通、计费规则缺失、结算功能异常酌情扣分。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5E93B4AF">
            <w:pPr>
              <w:keepNext w:val="0"/>
              <w:keepLines w:val="0"/>
              <w:widowControl/>
              <w:suppressLineNumbers w:val="0"/>
              <w:snapToGrid w:val="0"/>
              <w:jc w:val="left"/>
              <w:textAlignment w:val="top"/>
              <w:rPr>
                <w:rFonts w:hint="eastAsia" w:ascii="宋体" w:hAnsi="宋体" w:eastAsia="宋体" w:cs="宋体"/>
                <w:i w:val="0"/>
                <w:iCs w:val="0"/>
                <w:color w:val="000000"/>
                <w:sz w:val="21"/>
                <w:szCs w:val="21"/>
                <w:u w:val="none"/>
              </w:rPr>
            </w:pPr>
            <w:r>
              <w:rPr>
                <w:rFonts w:ascii="宋体" w:hAnsi="宋体" w:eastAsia="宋体" w:cs="宋体"/>
                <w:kern w:val="0"/>
                <w:sz w:val="20"/>
                <w:szCs w:val="20"/>
                <w:lang w:val="en-US" w:eastAsia="zh-CN" w:bidi="ar"/>
              </w:rPr>
              <w:t>支持总院医生为集团连锁药房开具电子处方，处方线上流转、上报省监管平台，集团药房核验后可线下刷医保结算；非本集团药店执行二维码开单计费、线上充值扣费规则，实现处方流转规范化、差异化管理。</w:t>
            </w: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733A8019">
            <w:pPr>
              <w:keepNext w:val="0"/>
              <w:keepLines w:val="0"/>
              <w:widowControl/>
              <w:suppressLineNumbers w:val="0"/>
              <w:snapToGrid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r>
      <w:tr w14:paraId="67F5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18174E4B">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084D5E13">
            <w:pPr>
              <w:snapToGrid w:val="0"/>
              <w:jc w:val="center"/>
              <w:rPr>
                <w:rFonts w:hint="eastAsia" w:ascii="宋体" w:hAnsi="宋体" w:eastAsia="宋体" w:cs="宋体"/>
                <w:i w:val="0"/>
                <w:iCs w:val="0"/>
                <w:color w:val="000000"/>
                <w:sz w:val="21"/>
                <w:szCs w:val="21"/>
                <w:u w:val="none"/>
              </w:rPr>
            </w:pP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47B2C626">
            <w:pPr>
              <w:keepNext w:val="0"/>
              <w:keepLines w:val="0"/>
              <w:widowControl/>
              <w:suppressLineNumbers w:val="0"/>
              <w:snapToGrid w:val="0"/>
              <w:ind w:firstLine="0" w:firstLineChars="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心理健康服务与慢病管理体系</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23C2971D">
            <w:pPr>
              <w:keepNext w:val="0"/>
              <w:keepLines w:val="0"/>
              <w:widowControl/>
              <w:suppressLineNumbers w:val="0"/>
              <w:snapToGrid w:val="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心理自测、慢病随访、消息推送、用药管理功能完整联动得满分；模块独立缺失、数据联动不畅、随访机制不完善酌情扣分。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0F9086AA">
            <w:pPr>
              <w:keepNext w:val="0"/>
              <w:keepLines w:val="0"/>
              <w:widowControl/>
              <w:suppressLineNumbers w:val="0"/>
              <w:snapToGrid w:val="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搭载线上心理评估量表，支持患者自主测评、数据留存，为医生诊疗提供参考，配套健康宣教服务；深度对接慢病随访登记系统，按慢病病种匹配差异化随访周期，支持定时电话随访、智能消息推送；依据门诊记录自动生成用药提醒、用药数据统计；依托公众号实现患者诊前沟通、诊中推送、诊后随访全场景互动，同步沉淀患者诊疗数据。</w:t>
            </w: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56BA1646">
            <w:pPr>
              <w:keepNext w:val="0"/>
              <w:keepLines w:val="0"/>
              <w:widowControl/>
              <w:suppressLineNumbers w:val="0"/>
              <w:snapToGrid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r>
      <w:tr w14:paraId="49A8F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0D1117C1">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7D217211">
            <w:pPr>
              <w:snapToGrid w:val="0"/>
              <w:jc w:val="center"/>
              <w:rPr>
                <w:rFonts w:hint="eastAsia" w:ascii="宋体" w:hAnsi="宋体" w:eastAsia="宋体" w:cs="宋体"/>
                <w:i w:val="0"/>
                <w:iCs w:val="0"/>
                <w:color w:val="000000"/>
                <w:sz w:val="21"/>
                <w:szCs w:val="21"/>
                <w:u w:val="none"/>
              </w:rPr>
            </w:pP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06ECFAAE">
            <w:pPr>
              <w:keepNext w:val="0"/>
              <w:keepLines w:val="0"/>
              <w:widowControl/>
              <w:suppressLineNumbers w:val="0"/>
              <w:snapToGrid w:val="0"/>
              <w:ind w:firstLine="0" w:firstLineChars="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满意度投诉与</w:t>
            </w:r>
            <w:r>
              <w:rPr>
                <w:rFonts w:hint="eastAsia" w:ascii="宋体" w:hAnsi="宋体" w:cs="宋体"/>
                <w:kern w:val="0"/>
                <w:sz w:val="20"/>
                <w:szCs w:val="20"/>
                <w:lang w:val="en-US" w:eastAsia="zh-CN" w:bidi="ar"/>
              </w:rPr>
              <w:t>消息推送</w:t>
            </w:r>
            <w:r>
              <w:rPr>
                <w:rFonts w:ascii="宋体" w:hAnsi="宋体" w:eastAsia="宋体" w:cs="宋体"/>
                <w:kern w:val="0"/>
                <w:sz w:val="20"/>
                <w:szCs w:val="20"/>
                <w:lang w:val="en-US" w:eastAsia="zh-CN" w:bidi="ar"/>
              </w:rPr>
              <w:t>智能服务建设</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0FF5EF9B">
            <w:pPr>
              <w:keepNext w:val="0"/>
              <w:keepLines w:val="0"/>
              <w:widowControl/>
              <w:suppressLineNumbers w:val="0"/>
              <w:snapToGrid w:val="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投诉评价、消息推送、AI导诊功能完整完善得满分；功能缺失、推送不精准、智能服务不完善酌情扣分。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1747AC9F">
            <w:pPr>
              <w:keepNext w:val="0"/>
              <w:keepLines w:val="0"/>
              <w:widowControl/>
              <w:suppressLineNumbers w:val="0"/>
              <w:snapToGrid w:val="0"/>
              <w:jc w:val="left"/>
              <w:textAlignment w:val="top"/>
              <w:rPr>
                <w:rFonts w:ascii="宋体" w:hAnsi="宋体" w:eastAsia="宋体" w:cs="宋体"/>
                <w:kern w:val="0"/>
                <w:sz w:val="20"/>
                <w:szCs w:val="20"/>
                <w:lang w:val="en-US" w:eastAsia="zh-CN" w:bidi="ar"/>
              </w:rPr>
            </w:pPr>
            <w:r>
              <w:rPr>
                <w:rFonts w:ascii="宋体" w:hAnsi="宋体" w:eastAsia="宋体" w:cs="宋体"/>
                <w:color w:val="FF0000"/>
                <w:kern w:val="0"/>
                <w:sz w:val="20"/>
                <w:szCs w:val="20"/>
                <w:lang w:val="en-US" w:eastAsia="zh-CN" w:bidi="ar"/>
              </w:rPr>
              <w:t>接医院现有满意度调查及投诉管理系统，实现患者评价、投诉线上提交、闭环处理；搭建全流程诊疗消息推送机制，覆盖排队队列、慢病用药、检查报告、就诊流程指导等场景；部署AI智能导诊模块，实现患者自助问诊、科室引导、业务咨询。</w:t>
            </w: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029A8224">
            <w:pPr>
              <w:keepNext w:val="0"/>
              <w:keepLines w:val="0"/>
              <w:widowControl/>
              <w:suppressLineNumbers w:val="0"/>
              <w:snapToGrid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r>
      <w:tr w14:paraId="19D8A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3F85AC99">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34586A94">
            <w:pPr>
              <w:snapToGrid w:val="0"/>
              <w:jc w:val="center"/>
              <w:rPr>
                <w:rFonts w:hint="eastAsia" w:ascii="宋体" w:hAnsi="宋体" w:eastAsia="宋体" w:cs="宋体"/>
                <w:i w:val="0"/>
                <w:iCs w:val="0"/>
                <w:color w:val="000000"/>
                <w:sz w:val="21"/>
                <w:szCs w:val="21"/>
                <w:u w:val="none"/>
              </w:rPr>
            </w:pP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3122511B">
            <w:pPr>
              <w:keepNext w:val="0"/>
              <w:keepLines w:val="0"/>
              <w:widowControl/>
              <w:suppressLineNumbers w:val="0"/>
              <w:snapToGrid w:val="0"/>
              <w:ind w:firstLine="0" w:firstLineChars="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患者数据中心与上门护理服务</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2E9A1D47">
            <w:pPr>
              <w:keepNext w:val="0"/>
              <w:keepLines w:val="0"/>
              <w:widowControl/>
              <w:suppressLineNumbers w:val="0"/>
              <w:snapToGrid w:val="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360数据中心、上门护理全流程功能闭环得满分；数据统计不全、护理接单派单流程缺失、评价闭环不完善酌情扣分。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66112A55">
            <w:pPr>
              <w:keepNext w:val="0"/>
              <w:keepLines w:val="0"/>
              <w:widowControl/>
              <w:suppressLineNumbers w:val="0"/>
              <w:snapToGrid w:val="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搭建患者360°数据中心，整合患者全周期诊疗、服务、健康数据；建设线上护理服务体系，实现患者下单、管理员接单派单、护士上门核验、服务完成确认、患者评价全流程闭环管理。</w:t>
            </w: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23E11F89">
            <w:pPr>
              <w:keepNext w:val="0"/>
              <w:keepLines w:val="0"/>
              <w:widowControl/>
              <w:suppressLineNumbers w:val="0"/>
              <w:snapToGrid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r>
      <w:tr w14:paraId="26F3A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08C332D2">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1ED30F56">
            <w:pPr>
              <w:snapToGrid w:val="0"/>
              <w:jc w:val="center"/>
              <w:rPr>
                <w:rFonts w:hint="eastAsia" w:ascii="宋体" w:hAnsi="宋体" w:eastAsia="宋体" w:cs="宋体"/>
                <w:i w:val="0"/>
                <w:iCs w:val="0"/>
                <w:color w:val="000000"/>
                <w:sz w:val="21"/>
                <w:szCs w:val="21"/>
                <w:u w:val="none"/>
              </w:rPr>
            </w:pP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676AF94E">
            <w:pPr>
              <w:keepNext w:val="0"/>
              <w:keepLines w:val="0"/>
              <w:widowControl/>
              <w:suppressLineNumbers w:val="0"/>
              <w:snapToGrid w:val="0"/>
              <w:ind w:firstLine="0" w:firstLineChars="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统一对账报表体系建设</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73A96EE7">
            <w:pPr>
              <w:keepNext w:val="0"/>
              <w:keepLines w:val="0"/>
              <w:widowControl/>
              <w:suppressLineNumbers w:val="0"/>
              <w:snapToGrid w:val="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报表维度齐全、数据精准、统计规范得满分；报表维度缺失、数据汇总不全、无明细统计酌情扣分。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74F5034D">
            <w:pPr>
              <w:keepNext w:val="0"/>
              <w:keepLines w:val="0"/>
              <w:widowControl/>
              <w:suppressLineNumbers w:val="0"/>
              <w:snapToGrid w:val="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搭建集团统一对账报表系统，支持收入来源（自助开单、病案寄送、线上护理、处方服务等）、订单编号、交易金额、发生时间等明细及汇总数据统计，满足医院财务质控、数据溯源、台账管理需求。</w:t>
            </w: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70A8CBB8">
            <w:pPr>
              <w:keepNext w:val="0"/>
              <w:keepLines w:val="0"/>
              <w:widowControl/>
              <w:suppressLineNumbers w:val="0"/>
              <w:snapToGrid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r>
      <w:tr w14:paraId="74A29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620DE985">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62DAAB05">
            <w:pPr>
              <w:snapToGrid w:val="0"/>
              <w:jc w:val="center"/>
              <w:rPr>
                <w:rFonts w:hint="eastAsia" w:ascii="宋体" w:hAnsi="宋体" w:eastAsia="宋体" w:cs="宋体"/>
                <w:i w:val="0"/>
                <w:iCs w:val="0"/>
                <w:color w:val="000000"/>
                <w:sz w:val="21"/>
                <w:szCs w:val="21"/>
                <w:u w:val="none"/>
              </w:rPr>
            </w:pP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2DD79E1A">
            <w:pPr>
              <w:keepNext w:val="0"/>
              <w:keepLines w:val="0"/>
              <w:widowControl/>
              <w:suppressLineNumbers w:val="0"/>
              <w:snapToGrid w:val="0"/>
              <w:ind w:firstLine="0" w:firstLineChars="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多端系统架构与多小程序部署</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1D8CBF19">
            <w:pPr>
              <w:keepNext w:val="0"/>
              <w:keepLines w:val="0"/>
              <w:widowControl/>
              <w:suppressLineNumbers w:val="0"/>
              <w:snapToGrid w:val="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系统架构完整、多端适配、多机构小程序部署方案合理得满分；终端缺失、部署方案不符合多主体收款要求酌情扣分。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03D9EDE8">
            <w:pPr>
              <w:keepNext w:val="0"/>
              <w:keepLines w:val="0"/>
              <w:widowControl/>
              <w:suppressLineNumbers w:val="0"/>
              <w:snapToGrid w:val="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基于腾讯微信小程序搭建多机构版互联网医院系统，适配各院区独立银行收款商户主体，支持多机构专属小程序申请、院区自由切换；完整搭建患者小程序端、医生端（APP+PC）、审方药师端（APP+PC）、连锁药房端、病案寄送端（APP+PC）、护理端（APP+PC）、集团管理质控端七大终端，满足全角色办公、服务、质控需求。</w:t>
            </w: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0AE40D67">
            <w:pPr>
              <w:keepNext w:val="0"/>
              <w:keepLines w:val="0"/>
              <w:widowControl/>
              <w:suppressLineNumbers w:val="0"/>
              <w:snapToGrid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r>
      <w:tr w14:paraId="7573C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1C0DACAF">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36E8C347">
            <w:pPr>
              <w:snapToGrid w:val="0"/>
              <w:jc w:val="center"/>
              <w:rPr>
                <w:rFonts w:hint="eastAsia" w:ascii="宋体" w:hAnsi="宋体" w:eastAsia="宋体" w:cs="宋体"/>
                <w:i w:val="0"/>
                <w:iCs w:val="0"/>
                <w:color w:val="000000"/>
                <w:sz w:val="21"/>
                <w:szCs w:val="21"/>
                <w:u w:val="none"/>
              </w:rPr>
            </w:pP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7B25AA3F">
            <w:pPr>
              <w:keepNext w:val="0"/>
              <w:keepLines w:val="0"/>
              <w:widowControl/>
              <w:suppressLineNumbers w:val="0"/>
              <w:snapToGrid w:val="0"/>
              <w:ind w:firstLine="0" w:firstLineChars="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一卡通与院内系统深度对接</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0DBD8105">
            <w:pPr>
              <w:keepNext w:val="0"/>
              <w:keepLines w:val="0"/>
              <w:widowControl/>
              <w:suppressLineNumbers w:val="0"/>
              <w:snapToGrid w:val="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一卡通同步、HIS/EMR对接完整顺畅得满分；信息同步滞后、系统对接不深入、数据回写异常酌情扣分。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022BA4B9">
            <w:pPr>
              <w:keepNext w:val="0"/>
              <w:keepLines w:val="0"/>
              <w:widowControl/>
              <w:suppressLineNumbers w:val="0"/>
              <w:snapToGrid w:val="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深度对接医院患者一卡通系统，支持患者本人及亲属信息自助维护、实时同步至一卡通卡池；全面对接院内电子病历、HIS系统，实现线上处方、病历、药房库存数据实时回传、双向互通，保障院内数据一致性。</w:t>
            </w: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3249C020">
            <w:pPr>
              <w:keepNext w:val="0"/>
              <w:keepLines w:val="0"/>
              <w:widowControl/>
              <w:suppressLineNumbers w:val="0"/>
              <w:snapToGrid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14:paraId="4B6D2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76DA167F">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76287241">
            <w:pPr>
              <w:snapToGrid w:val="0"/>
              <w:jc w:val="center"/>
              <w:rPr>
                <w:rFonts w:hint="eastAsia" w:ascii="宋体" w:hAnsi="宋体" w:eastAsia="宋体" w:cs="宋体"/>
                <w:i w:val="0"/>
                <w:iCs w:val="0"/>
                <w:color w:val="000000"/>
                <w:sz w:val="21"/>
                <w:szCs w:val="21"/>
                <w:u w:val="none"/>
              </w:rPr>
            </w:pP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003E667E">
            <w:pPr>
              <w:keepNext w:val="0"/>
              <w:keepLines w:val="0"/>
              <w:widowControl/>
              <w:suppressLineNumbers w:val="0"/>
              <w:snapToGrid w:val="0"/>
              <w:ind w:firstLine="0" w:firstLineChars="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电子签章合规建设</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0F019CC8">
            <w:pPr>
              <w:keepNext w:val="0"/>
              <w:keepLines w:val="0"/>
              <w:widowControl/>
              <w:suppressLineNumbers w:val="0"/>
              <w:snapToGrid w:val="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完全匹配</w:t>
            </w:r>
            <w:r>
              <w:rPr>
                <w:rFonts w:hint="eastAsia" w:ascii="宋体" w:hAnsi="宋体" w:cs="宋体"/>
                <w:kern w:val="0"/>
                <w:sz w:val="20"/>
                <w:szCs w:val="20"/>
                <w:lang w:val="en-US" w:eastAsia="zh-CN" w:bidi="ar"/>
              </w:rPr>
              <w:t>2026版</w:t>
            </w:r>
            <w:r>
              <w:rPr>
                <w:rFonts w:ascii="宋体" w:hAnsi="宋体" w:eastAsia="宋体" w:cs="宋体"/>
                <w:kern w:val="0"/>
                <w:sz w:val="20"/>
                <w:szCs w:val="20"/>
                <w:lang w:val="en-US" w:eastAsia="zh-CN" w:bidi="ar"/>
              </w:rPr>
              <w:t>国家及行业电子认证规范，资料齐全、合规落地得满分；未达标规范、签章功能不合规酌情扣分。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4CC60F40">
            <w:pPr>
              <w:keepNext w:val="0"/>
              <w:keepLines w:val="0"/>
              <w:widowControl/>
              <w:suppressLineNumbers w:val="0"/>
              <w:snapToGrid w:val="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全面对接医护药技、患者CA电子签名系统，严格符合工信发函〔2026〕181号文件、T/CQAE11034-2025《电子认证业务规则规范》要求，保障电子签章合法合规、可溯源。</w:t>
            </w: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7577E09C">
            <w:pPr>
              <w:keepNext w:val="0"/>
              <w:keepLines w:val="0"/>
              <w:widowControl/>
              <w:suppressLineNumbers w:val="0"/>
              <w:snapToGrid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14:paraId="2BB7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0ED8DC35">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4D92BB66">
            <w:pPr>
              <w:snapToGrid w:val="0"/>
              <w:jc w:val="center"/>
              <w:rPr>
                <w:rFonts w:hint="eastAsia" w:ascii="宋体" w:hAnsi="宋体" w:eastAsia="宋体" w:cs="宋体"/>
                <w:i w:val="0"/>
                <w:iCs w:val="0"/>
                <w:color w:val="000000"/>
                <w:sz w:val="21"/>
                <w:szCs w:val="21"/>
                <w:u w:val="none"/>
              </w:rPr>
            </w:pP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3632275C">
            <w:pPr>
              <w:keepNext w:val="0"/>
              <w:keepLines w:val="0"/>
              <w:widowControl/>
              <w:suppressLineNumbers w:val="0"/>
              <w:snapToGrid w:val="0"/>
              <w:ind w:firstLine="0" w:firstLineChars="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政策性接口免费服务保障</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3919BE90">
            <w:pPr>
              <w:keepNext w:val="0"/>
              <w:keepLines w:val="0"/>
              <w:widowControl/>
              <w:suppressLineNumbers w:val="0"/>
              <w:snapToGrid w:val="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明确承诺所有红头政策类接口免费开放、全力配合上级工作得满分；未明确承诺、服务保障不足不得分。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1BF473DC">
            <w:pPr>
              <w:keepNext w:val="0"/>
              <w:keepLines w:val="0"/>
              <w:widowControl/>
              <w:suppressLineNumbers w:val="0"/>
              <w:snapToGrid w:val="0"/>
              <w:jc w:val="left"/>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承诺所有上级主管部门红头文件要求的政策性对接接口全部免费提供，主动配合医院完成各类政治性、政策性系统对接、数据上报、质控核查工作，保障医院合规完成上级考核任务。</w:t>
            </w: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5951A307">
            <w:pPr>
              <w:keepNext w:val="0"/>
              <w:keepLines w:val="0"/>
              <w:widowControl/>
              <w:suppressLineNumbers w:val="0"/>
              <w:snapToGrid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r>
      <w:tr w14:paraId="0DCA7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04192CB5">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3FE5FD31">
            <w:pPr>
              <w:snapToGrid w:val="0"/>
              <w:jc w:val="center"/>
              <w:rPr>
                <w:rFonts w:hint="eastAsia" w:ascii="宋体" w:hAnsi="宋体" w:eastAsia="宋体" w:cs="宋体"/>
                <w:i w:val="0"/>
                <w:iCs w:val="0"/>
                <w:color w:val="000000"/>
                <w:sz w:val="21"/>
                <w:szCs w:val="21"/>
                <w:u w:val="none"/>
              </w:rPr>
            </w:pP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1081F438">
            <w:pPr>
              <w:keepNext w:val="0"/>
              <w:keepLines w:val="0"/>
              <w:widowControl/>
              <w:suppressLineNumbers w:val="0"/>
              <w:snapToGrid w:val="0"/>
              <w:ind w:firstLine="0" w:firstLineChars="0"/>
              <w:jc w:val="left"/>
              <w:textAlignment w:val="top"/>
              <w:rPr>
                <w:rFonts w:ascii="宋体" w:hAnsi="宋体" w:eastAsia="宋体" w:cs="宋体"/>
                <w:kern w:val="0"/>
                <w:sz w:val="20"/>
                <w:szCs w:val="20"/>
                <w:lang w:val="en-US" w:eastAsia="zh-CN" w:bidi="ar"/>
              </w:rPr>
            </w:pP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398C3A70">
            <w:pPr>
              <w:keepNext w:val="0"/>
              <w:keepLines w:val="0"/>
              <w:widowControl/>
              <w:suppressLineNumbers w:val="0"/>
              <w:snapToGrid w:val="0"/>
              <w:jc w:val="left"/>
              <w:textAlignment w:val="top"/>
              <w:rPr>
                <w:rFonts w:ascii="宋体" w:hAnsi="宋体" w:eastAsia="宋体" w:cs="宋体"/>
                <w:kern w:val="0"/>
                <w:sz w:val="20"/>
                <w:szCs w:val="20"/>
                <w:lang w:val="en-US" w:eastAsia="zh-CN" w:bidi="ar"/>
              </w:rPr>
            </w:pP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4F6AF168">
            <w:pPr>
              <w:keepNext w:val="0"/>
              <w:keepLines w:val="0"/>
              <w:widowControl/>
              <w:suppressLineNumbers w:val="0"/>
              <w:snapToGrid w:val="0"/>
              <w:jc w:val="left"/>
              <w:textAlignment w:val="top"/>
              <w:rPr>
                <w:rFonts w:ascii="宋体" w:hAnsi="宋体" w:eastAsia="宋体" w:cs="宋体"/>
                <w:kern w:val="0"/>
                <w:sz w:val="20"/>
                <w:szCs w:val="20"/>
                <w:lang w:val="en-US" w:eastAsia="zh-CN" w:bidi="ar"/>
              </w:rPr>
            </w:pP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1A988140">
            <w:pPr>
              <w:keepNext w:val="0"/>
              <w:keepLines w:val="0"/>
              <w:widowControl/>
              <w:suppressLineNumbers w:val="0"/>
              <w:snapToGrid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4365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3EC60204">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62DD7A3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4EB13234">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实施方案</w:t>
            </w:r>
            <w:r>
              <w:rPr>
                <w:rFonts w:hint="eastAsia" w:ascii="宋体" w:hAnsi="宋体" w:cs="宋体"/>
                <w:i w:val="0"/>
                <w:iCs w:val="0"/>
                <w:color w:val="000000"/>
                <w:kern w:val="0"/>
                <w:sz w:val="21"/>
                <w:szCs w:val="21"/>
                <w:u w:val="none"/>
                <w:lang w:val="en-US" w:eastAsia="zh-CN" w:bidi="ar"/>
              </w:rPr>
              <w:t>（30分）</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39017DC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Style w:val="19"/>
                <w:rFonts w:ascii="宋体" w:eastAsia="宋体"/>
                <w:sz w:val="21"/>
                <w:lang w:val="en-US" w:eastAsia="zh-CN" w:bidi="ar"/>
              </w:rPr>
              <w:t>根据供应商提供项目实施管理方案，方案包括但不限于：</w:t>
            </w:r>
            <w:r>
              <w:rPr>
                <w:rStyle w:val="17"/>
                <w:rFonts w:ascii="宋体" w:eastAsia="宋体"/>
                <w:sz w:val="21"/>
                <w:lang w:val="en-US" w:eastAsia="zh-CN" w:bidi="ar"/>
              </w:rPr>
              <w:t>①</w:t>
            </w:r>
            <w:r>
              <w:rPr>
                <w:rStyle w:val="19"/>
                <w:rFonts w:ascii="宋体" w:eastAsia="宋体"/>
                <w:sz w:val="21"/>
                <w:lang w:val="en-US" w:eastAsia="zh-CN" w:bidi="ar"/>
              </w:rPr>
              <w:t>项目的实施进度周期、</w:t>
            </w:r>
            <w:r>
              <w:rPr>
                <w:rStyle w:val="17"/>
                <w:rFonts w:ascii="宋体" w:eastAsia="宋体"/>
                <w:sz w:val="21"/>
                <w:lang w:val="en-US" w:eastAsia="zh-CN" w:bidi="ar"/>
              </w:rPr>
              <w:t>②</w:t>
            </w:r>
            <w:r>
              <w:rPr>
                <w:rStyle w:val="19"/>
                <w:rFonts w:ascii="宋体" w:eastAsia="宋体"/>
                <w:sz w:val="21"/>
                <w:lang w:val="en-US" w:eastAsia="zh-CN" w:bidi="ar"/>
              </w:rPr>
              <w:t>安装调试方案、③质量保证措施、</w:t>
            </w:r>
            <w:r>
              <w:rPr>
                <w:rStyle w:val="19"/>
                <w:rFonts w:hint="eastAsia" w:ascii="宋体"/>
                <w:sz w:val="21"/>
                <w:lang w:val="en-US" w:eastAsia="zh-CN" w:bidi="ar"/>
              </w:rPr>
              <w:t>现场驻场实施</w:t>
            </w:r>
            <w:r>
              <w:rPr>
                <w:rStyle w:val="19"/>
                <w:rFonts w:ascii="宋体" w:eastAsia="宋体"/>
                <w:sz w:val="21"/>
                <w:lang w:val="en-US" w:eastAsia="zh-CN" w:bidi="ar"/>
              </w:rPr>
              <w:t>④培训方案，方案完整、符合本项目实际需求的，每项得1分，未提供不得分；每项内容里有一处内容不合理或错误的得0.5分，出现二处及以上的此项不得分。最高分4分。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2B7830E7">
            <w:pPr>
              <w:snapToGrid w:val="0"/>
              <w:jc w:val="left"/>
              <w:rPr>
                <w:rFonts w:hint="eastAsia" w:ascii="宋体" w:hAnsi="宋体" w:eastAsia="宋体" w:cs="宋体"/>
                <w:i w:val="0"/>
                <w:iCs w:val="0"/>
                <w:color w:val="000000"/>
                <w:sz w:val="21"/>
                <w:szCs w:val="21"/>
                <w:u w:val="none"/>
              </w:rPr>
            </w:pP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6F9C4FA1">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CBC1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5382ABC9">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69CBBFA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1885244C">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售后服务方案</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2438CA5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根据供应商提供售后服务方案，方案包括但不限于：①售后服务体系、</w:t>
            </w:r>
            <w:r>
              <w:rPr>
                <w:rFonts w:hint="eastAsia" w:ascii="宋体" w:hAnsi="宋体" w:cs="宋体"/>
                <w:i w:val="0"/>
                <w:iCs w:val="0"/>
                <w:color w:val="000000"/>
                <w:kern w:val="0"/>
                <w:sz w:val="21"/>
                <w:szCs w:val="21"/>
                <w:u w:val="none"/>
                <w:lang w:val="en-US" w:eastAsia="zh-CN" w:bidi="ar"/>
              </w:rPr>
              <w:t>售后报价得2分</w:t>
            </w:r>
            <w:r>
              <w:rPr>
                <w:rFonts w:hint="eastAsia" w:ascii="宋体" w:hAnsi="宋体" w:eastAsia="宋体" w:cs="宋体"/>
                <w:i w:val="0"/>
                <w:iCs w:val="0"/>
                <w:color w:val="000000"/>
                <w:kern w:val="0"/>
                <w:sz w:val="21"/>
                <w:szCs w:val="21"/>
                <w:u w:val="none"/>
                <w:lang w:val="en-US" w:eastAsia="zh-CN" w:bidi="ar"/>
              </w:rPr>
              <w:t>②人员服务计划，方案完整、</w:t>
            </w:r>
            <w:r>
              <w:rPr>
                <w:rFonts w:hint="eastAsia" w:ascii="宋体" w:hAnsi="宋体" w:cs="宋体"/>
                <w:i w:val="0"/>
                <w:iCs w:val="0"/>
                <w:color w:val="000000"/>
                <w:kern w:val="0"/>
                <w:sz w:val="21"/>
                <w:szCs w:val="21"/>
                <w:u w:val="none"/>
                <w:lang w:val="en-US" w:eastAsia="zh-CN" w:bidi="ar"/>
              </w:rPr>
              <w:t>免费维保年限每年增加一年0.5分，</w:t>
            </w:r>
            <w:r>
              <w:rPr>
                <w:rFonts w:hint="eastAsia" w:ascii="宋体" w:hAnsi="宋体" w:eastAsia="宋体" w:cs="宋体"/>
                <w:i w:val="0"/>
                <w:iCs w:val="0"/>
                <w:color w:val="000000"/>
                <w:kern w:val="0"/>
                <w:sz w:val="21"/>
                <w:szCs w:val="21"/>
                <w:u w:val="none"/>
                <w:lang w:val="en-US" w:eastAsia="zh-CN" w:bidi="ar"/>
              </w:rPr>
              <w:t>符合本项目实际需求的，每得</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分，未提供不得分；每项内容里有一处内容不合理或错误的得1分，出现二处及以上的此项不得分。最高分</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7209D281">
            <w:pPr>
              <w:snapToGrid w:val="0"/>
              <w:jc w:val="left"/>
              <w:rPr>
                <w:rFonts w:hint="eastAsia" w:ascii="宋体" w:hAnsi="宋体" w:eastAsia="宋体" w:cs="宋体"/>
                <w:i w:val="0"/>
                <w:iCs w:val="0"/>
                <w:color w:val="000000"/>
                <w:sz w:val="21"/>
                <w:szCs w:val="21"/>
                <w:u w:val="none"/>
              </w:rPr>
            </w:pP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08BD6698">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r>
      <w:tr w14:paraId="26F7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320E0844">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327635E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229E2F57">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技术对接方案</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203613C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供应商提供的技术对接职业病上传省平台的方案，方案包括①对接原理、②技术架构、③数据传输流程，方案完整、符合本项目实际需求的，每项得2分，未提供不得分；每项内容里有一处内容不合理或错误的得1分，出现二处及以上的此项不得分。最高分</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4EE145D3">
            <w:pPr>
              <w:snapToGrid w:val="0"/>
              <w:jc w:val="left"/>
              <w:rPr>
                <w:rFonts w:hint="eastAsia" w:ascii="宋体" w:hAnsi="宋体" w:eastAsia="宋体" w:cs="宋体"/>
                <w:i w:val="0"/>
                <w:iCs w:val="0"/>
                <w:color w:val="000000"/>
                <w:sz w:val="21"/>
                <w:szCs w:val="21"/>
                <w:u w:val="none"/>
              </w:rPr>
            </w:pP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0A41EACF">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r>
      <w:tr w14:paraId="6CCF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nil"/>
              <w:right w:val="single" w:color="000000" w:sz="8" w:space="0"/>
            </w:tcBorders>
            <w:shd w:val="clear" w:color="auto" w:fill="auto"/>
            <w:vAlign w:val="center"/>
          </w:tcPr>
          <w:p w14:paraId="2264455F">
            <w:pPr>
              <w:keepNext w:val="0"/>
              <w:keepLines w:val="0"/>
              <w:widowControl/>
              <w:suppressLineNumbers w:val="0"/>
              <w:snapToGrid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商务部分</w:t>
            </w:r>
          </w:p>
        </w:tc>
        <w:tc>
          <w:tcPr>
            <w:tcW w:w="881" w:type="dxa"/>
            <w:vMerge w:val="restart"/>
            <w:tcBorders>
              <w:top w:val="nil"/>
              <w:left w:val="single" w:color="000000" w:sz="8" w:space="0"/>
              <w:bottom w:val="single" w:color="000000" w:sz="8" w:space="0"/>
              <w:right w:val="single" w:color="000000" w:sz="8" w:space="0"/>
            </w:tcBorders>
            <w:shd w:val="clear" w:color="auto" w:fill="auto"/>
            <w:noWrap/>
            <w:vAlign w:val="center"/>
          </w:tcPr>
          <w:p w14:paraId="6B5299A4">
            <w:pPr>
              <w:keepNext w:val="0"/>
              <w:keepLines w:val="0"/>
              <w:widowControl/>
              <w:suppressLineNumbers w:val="0"/>
              <w:snapToGrid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09" w:type="dxa"/>
            <w:vMerge w:val="restart"/>
            <w:tcBorders>
              <w:top w:val="nil"/>
              <w:left w:val="single" w:color="000000" w:sz="8" w:space="0"/>
              <w:bottom w:val="single" w:color="000000" w:sz="8" w:space="0"/>
              <w:right w:val="single" w:color="000000" w:sz="8" w:space="0"/>
            </w:tcBorders>
            <w:shd w:val="clear" w:color="auto" w:fill="auto"/>
            <w:vAlign w:val="center"/>
          </w:tcPr>
          <w:p w14:paraId="6D126A25">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综合实力</w:t>
            </w:r>
          </w:p>
        </w:tc>
        <w:tc>
          <w:tcPr>
            <w:tcW w:w="4983" w:type="dxa"/>
            <w:tcBorders>
              <w:top w:val="nil"/>
              <w:left w:val="single" w:color="000000" w:sz="8" w:space="0"/>
              <w:bottom w:val="nil"/>
              <w:right w:val="single" w:color="000000" w:sz="8" w:space="0"/>
            </w:tcBorders>
            <w:shd w:val="clear" w:color="auto" w:fill="auto"/>
            <w:vAlign w:val="center"/>
          </w:tcPr>
          <w:p w14:paraId="76D36B6B">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1、投标供应商具备有效期内信息安全管理体系认证证书、，每具备一个得1分，最多得2分。（提供证书原件扫描件上传至投标文件中，无扫描件不得分。）</w:t>
            </w:r>
          </w:p>
        </w:tc>
        <w:tc>
          <w:tcPr>
            <w:tcW w:w="5106" w:type="dxa"/>
            <w:tcBorders>
              <w:top w:val="nil"/>
              <w:left w:val="nil"/>
              <w:bottom w:val="nil"/>
              <w:right w:val="single" w:color="000000" w:sz="8" w:space="0"/>
            </w:tcBorders>
            <w:shd w:val="clear" w:color="auto" w:fill="auto"/>
            <w:vAlign w:val="center"/>
          </w:tcPr>
          <w:p w14:paraId="6AE3716F">
            <w:pPr>
              <w:snapToGrid w:val="0"/>
              <w:jc w:val="left"/>
              <w:rPr>
                <w:rFonts w:hint="eastAsia" w:ascii="宋体" w:hAnsi="宋体" w:eastAsia="宋体" w:cs="宋体"/>
                <w:i w:val="0"/>
                <w:iCs w:val="0"/>
                <w:color w:val="000000"/>
                <w:sz w:val="21"/>
                <w:szCs w:val="21"/>
                <w:u w:val="none"/>
              </w:rPr>
            </w:pPr>
          </w:p>
        </w:tc>
        <w:tc>
          <w:tcPr>
            <w:tcW w:w="789" w:type="dxa"/>
            <w:vMerge w:val="restart"/>
            <w:tcBorders>
              <w:top w:val="nil"/>
              <w:left w:val="single" w:color="000000" w:sz="8" w:space="0"/>
              <w:bottom w:val="single" w:color="000000" w:sz="8" w:space="0"/>
              <w:right w:val="single" w:color="000000" w:sz="8" w:space="0"/>
            </w:tcBorders>
            <w:shd w:val="clear" w:color="auto" w:fill="auto"/>
            <w:noWrap/>
            <w:vAlign w:val="center"/>
          </w:tcPr>
          <w:p w14:paraId="27AEF9A1">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8</w:t>
            </w:r>
          </w:p>
        </w:tc>
      </w:tr>
      <w:tr w14:paraId="760B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nil"/>
              <w:right w:val="single" w:color="000000" w:sz="8" w:space="0"/>
            </w:tcBorders>
            <w:shd w:val="clear" w:color="auto" w:fill="auto"/>
            <w:vAlign w:val="center"/>
          </w:tcPr>
          <w:p w14:paraId="2BFB68AA">
            <w:pPr>
              <w:keepNext w:val="0"/>
              <w:keepLines w:val="0"/>
              <w:widowControl/>
              <w:suppressLineNumbers w:val="0"/>
              <w:snapToGrid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（20分）</w:t>
            </w:r>
          </w:p>
        </w:tc>
        <w:tc>
          <w:tcPr>
            <w:tcW w:w="881"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CC544B0">
            <w:pPr>
              <w:snapToGrid w:val="0"/>
              <w:jc w:val="center"/>
              <w:rPr>
                <w:rFonts w:hint="eastAsia" w:ascii="宋体" w:hAnsi="宋体" w:eastAsia="宋体" w:cs="宋体"/>
                <w:i w:val="0"/>
                <w:iCs w:val="0"/>
                <w:color w:val="000000"/>
                <w:sz w:val="21"/>
                <w:szCs w:val="21"/>
                <w:u w:val="none"/>
              </w:rPr>
            </w:pPr>
          </w:p>
        </w:tc>
        <w:tc>
          <w:tcPr>
            <w:tcW w:w="1509" w:type="dxa"/>
            <w:vMerge w:val="continue"/>
            <w:tcBorders>
              <w:top w:val="nil"/>
              <w:left w:val="single" w:color="000000" w:sz="8" w:space="0"/>
              <w:bottom w:val="single" w:color="000000" w:sz="8" w:space="0"/>
              <w:right w:val="single" w:color="000000" w:sz="8" w:space="0"/>
            </w:tcBorders>
            <w:shd w:val="clear" w:color="auto" w:fill="auto"/>
            <w:vAlign w:val="center"/>
          </w:tcPr>
          <w:p w14:paraId="2B26F480">
            <w:pPr>
              <w:snapToGrid w:val="0"/>
              <w:jc w:val="left"/>
              <w:rPr>
                <w:rFonts w:hint="eastAsia" w:ascii="宋体" w:hAnsi="宋体" w:eastAsia="宋体" w:cs="宋体"/>
                <w:i w:val="0"/>
                <w:iCs w:val="0"/>
                <w:color w:val="000000"/>
                <w:sz w:val="21"/>
                <w:szCs w:val="21"/>
                <w:u w:val="none"/>
              </w:rPr>
            </w:pPr>
          </w:p>
        </w:tc>
        <w:tc>
          <w:tcPr>
            <w:tcW w:w="4983" w:type="dxa"/>
            <w:tcBorders>
              <w:top w:val="nil"/>
              <w:left w:val="single" w:color="000000" w:sz="8" w:space="0"/>
              <w:bottom w:val="nil"/>
              <w:right w:val="single" w:color="000000" w:sz="8" w:space="0"/>
            </w:tcBorders>
            <w:shd w:val="clear" w:color="auto" w:fill="auto"/>
            <w:vAlign w:val="center"/>
          </w:tcPr>
          <w:p w14:paraId="3226B282">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投标供应商提供本项目的相关产品的著作权，每提供1个著作权证书得1分，最多得3分，本项目相关功能模块不得分包转包，如有发现本项不得分。（提供证书原件扫描件上传至投标文件中，无扫描件不得分。）</w:t>
            </w:r>
          </w:p>
        </w:tc>
        <w:tc>
          <w:tcPr>
            <w:tcW w:w="5106" w:type="dxa"/>
            <w:tcBorders>
              <w:top w:val="nil"/>
              <w:left w:val="nil"/>
              <w:bottom w:val="nil"/>
              <w:right w:val="single" w:color="000000" w:sz="8" w:space="0"/>
            </w:tcBorders>
            <w:shd w:val="clear" w:color="auto" w:fill="auto"/>
            <w:vAlign w:val="center"/>
          </w:tcPr>
          <w:p w14:paraId="7CCD2312">
            <w:pPr>
              <w:snapToGrid w:val="0"/>
              <w:jc w:val="left"/>
              <w:rPr>
                <w:rFonts w:hint="eastAsia" w:ascii="宋体" w:hAnsi="宋体" w:eastAsia="宋体" w:cs="宋体"/>
                <w:i w:val="0"/>
                <w:iCs w:val="0"/>
                <w:color w:val="000000"/>
                <w:sz w:val="21"/>
                <w:szCs w:val="21"/>
                <w:u w:val="none"/>
              </w:rPr>
            </w:pPr>
          </w:p>
        </w:tc>
        <w:tc>
          <w:tcPr>
            <w:tcW w:w="78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83146B1">
            <w:pPr>
              <w:snapToGrid w:val="0"/>
              <w:jc w:val="right"/>
              <w:rPr>
                <w:rFonts w:hint="eastAsia" w:ascii="宋体" w:hAnsi="宋体" w:eastAsia="宋体" w:cs="宋体"/>
                <w:i w:val="0"/>
                <w:iCs w:val="0"/>
                <w:color w:val="000000"/>
                <w:sz w:val="21"/>
                <w:szCs w:val="21"/>
                <w:u w:val="none"/>
              </w:rPr>
            </w:pPr>
          </w:p>
        </w:tc>
      </w:tr>
      <w:tr w14:paraId="6602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noWrap/>
            <w:vAlign w:val="center"/>
          </w:tcPr>
          <w:p w14:paraId="16DB6880">
            <w:pPr>
              <w:snapToGrid w:val="0"/>
              <w:jc w:val="center"/>
              <w:rPr>
                <w:rFonts w:hint="eastAsia" w:ascii="宋体" w:hAnsi="宋体" w:eastAsia="宋体" w:cs="宋体"/>
                <w:i w:val="0"/>
                <w:iCs w:val="0"/>
                <w:color w:val="000000"/>
                <w:sz w:val="21"/>
                <w:szCs w:val="22"/>
                <w:u w:val="none"/>
              </w:rPr>
            </w:pPr>
          </w:p>
        </w:tc>
        <w:tc>
          <w:tcPr>
            <w:tcW w:w="881"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3E4D574">
            <w:pPr>
              <w:snapToGrid w:val="0"/>
              <w:jc w:val="center"/>
              <w:rPr>
                <w:rFonts w:hint="eastAsia" w:ascii="宋体" w:hAnsi="宋体" w:eastAsia="宋体" w:cs="宋体"/>
                <w:i w:val="0"/>
                <w:iCs w:val="0"/>
                <w:color w:val="000000"/>
                <w:sz w:val="21"/>
                <w:szCs w:val="21"/>
                <w:u w:val="none"/>
              </w:rPr>
            </w:pPr>
          </w:p>
        </w:tc>
        <w:tc>
          <w:tcPr>
            <w:tcW w:w="1509" w:type="dxa"/>
            <w:vMerge w:val="continue"/>
            <w:tcBorders>
              <w:top w:val="nil"/>
              <w:left w:val="single" w:color="000000" w:sz="8" w:space="0"/>
              <w:bottom w:val="single" w:color="000000" w:sz="8" w:space="0"/>
              <w:right w:val="single" w:color="000000" w:sz="8" w:space="0"/>
            </w:tcBorders>
            <w:shd w:val="clear" w:color="auto" w:fill="auto"/>
            <w:vAlign w:val="center"/>
          </w:tcPr>
          <w:p w14:paraId="226947E8">
            <w:pPr>
              <w:snapToGrid w:val="0"/>
              <w:jc w:val="left"/>
              <w:rPr>
                <w:rFonts w:hint="eastAsia" w:ascii="宋体" w:hAnsi="宋体" w:eastAsia="宋体" w:cs="宋体"/>
                <w:i w:val="0"/>
                <w:iCs w:val="0"/>
                <w:color w:val="000000"/>
                <w:sz w:val="21"/>
                <w:szCs w:val="21"/>
                <w:u w:val="none"/>
              </w:rPr>
            </w:pP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361E65F1">
            <w:pPr>
              <w:snapToGrid w:val="0"/>
              <w:jc w:val="left"/>
              <w:rPr>
                <w:rFonts w:hint="eastAsia" w:ascii="宋体" w:hAnsi="宋体" w:eastAsia="宋体" w:cs="宋体"/>
                <w:i w:val="0"/>
                <w:iCs w:val="0"/>
                <w:color w:val="000000"/>
                <w:sz w:val="21"/>
                <w:szCs w:val="21"/>
                <w:u w:val="none"/>
              </w:rPr>
            </w:pPr>
          </w:p>
        </w:tc>
        <w:tc>
          <w:tcPr>
            <w:tcW w:w="5106" w:type="dxa"/>
            <w:tcBorders>
              <w:top w:val="nil"/>
              <w:left w:val="nil"/>
              <w:bottom w:val="single" w:color="000000" w:sz="8" w:space="0"/>
              <w:right w:val="single" w:color="000000" w:sz="8" w:space="0"/>
            </w:tcBorders>
            <w:shd w:val="clear" w:color="auto" w:fill="auto"/>
            <w:vAlign w:val="center"/>
          </w:tcPr>
          <w:p w14:paraId="48D6F88E">
            <w:pPr>
              <w:snapToGrid w:val="0"/>
              <w:jc w:val="left"/>
              <w:rPr>
                <w:rFonts w:hint="eastAsia" w:ascii="宋体" w:hAnsi="宋体" w:eastAsia="宋体" w:cs="宋体"/>
                <w:i w:val="0"/>
                <w:iCs w:val="0"/>
                <w:color w:val="000000"/>
                <w:sz w:val="21"/>
                <w:szCs w:val="21"/>
                <w:u w:val="none"/>
              </w:rPr>
            </w:pPr>
          </w:p>
        </w:tc>
        <w:tc>
          <w:tcPr>
            <w:tcW w:w="78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1DAA95">
            <w:pPr>
              <w:snapToGrid w:val="0"/>
              <w:jc w:val="right"/>
              <w:rPr>
                <w:rFonts w:hint="eastAsia" w:ascii="宋体" w:hAnsi="宋体" w:eastAsia="宋体" w:cs="宋体"/>
                <w:i w:val="0"/>
                <w:iCs w:val="0"/>
                <w:color w:val="000000"/>
                <w:sz w:val="21"/>
                <w:szCs w:val="21"/>
                <w:u w:val="none"/>
              </w:rPr>
            </w:pPr>
          </w:p>
        </w:tc>
      </w:tr>
      <w:tr w14:paraId="58A2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480E4340">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2605CB33">
            <w:pPr>
              <w:keepNext w:val="0"/>
              <w:keepLines w:val="0"/>
              <w:widowControl/>
              <w:suppressLineNumbers w:val="0"/>
              <w:snapToGrid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7B57A1A9">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业绩</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16A112E5">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年1月1日以来（以合同签订时间为准），供应商具有类似项目业绩的，有一个得1分，最高得3分。</w:t>
            </w:r>
            <w:r>
              <w:rPr>
                <w:rFonts w:hint="eastAsia" w:ascii="宋体" w:hAnsi="宋体" w:cs="宋体"/>
                <w:i w:val="0"/>
                <w:iCs w:val="0"/>
                <w:color w:val="000000"/>
                <w:kern w:val="0"/>
                <w:sz w:val="21"/>
                <w:szCs w:val="21"/>
                <w:u w:val="none"/>
                <w:lang w:val="en-US" w:eastAsia="zh-CN" w:bidi="ar"/>
              </w:rPr>
              <w:t>现场提供客户供评分人员进入测试</w:t>
            </w:r>
            <w:r>
              <w:rPr>
                <w:rFonts w:hint="eastAsia" w:ascii="宋体" w:hAnsi="宋体" w:eastAsia="宋体" w:cs="宋体"/>
                <w:i w:val="0"/>
                <w:iCs w:val="0"/>
                <w:color w:val="000000"/>
                <w:kern w:val="0"/>
                <w:sz w:val="21"/>
                <w:szCs w:val="21"/>
                <w:u w:val="none"/>
                <w:lang w:val="en-US" w:eastAsia="zh-CN" w:bidi="ar"/>
              </w:rPr>
              <w:t>（须提供合同扫描件）</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795B0269">
            <w:pPr>
              <w:snapToGrid w:val="0"/>
              <w:jc w:val="left"/>
              <w:rPr>
                <w:rFonts w:hint="eastAsia" w:ascii="宋体" w:hAnsi="宋体" w:eastAsia="宋体" w:cs="宋体"/>
                <w:i w:val="0"/>
                <w:iCs w:val="0"/>
                <w:color w:val="000000"/>
                <w:sz w:val="21"/>
                <w:szCs w:val="21"/>
                <w:u w:val="none"/>
              </w:rPr>
            </w:pP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5D569E32">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E21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restart"/>
            <w:tcBorders>
              <w:top w:val="nil"/>
              <w:left w:val="single" w:color="000000" w:sz="8" w:space="0"/>
              <w:bottom w:val="single" w:color="000000" w:sz="8" w:space="0"/>
              <w:right w:val="single" w:color="000000" w:sz="8" w:space="0"/>
            </w:tcBorders>
            <w:shd w:val="clear" w:color="auto" w:fill="auto"/>
            <w:vAlign w:val="center"/>
          </w:tcPr>
          <w:p w14:paraId="3AD3B95D">
            <w:pPr>
              <w:snapToGrid w:val="0"/>
              <w:jc w:val="center"/>
              <w:rPr>
                <w:rFonts w:hint="eastAsia" w:ascii="宋体" w:hAnsi="宋体" w:eastAsia="宋体" w:cs="宋体"/>
                <w:i w:val="0"/>
                <w:iCs w:val="0"/>
                <w:color w:val="000000"/>
                <w:sz w:val="21"/>
                <w:szCs w:val="21"/>
                <w:u w:val="none"/>
              </w:rPr>
            </w:pPr>
          </w:p>
        </w:tc>
        <w:tc>
          <w:tcPr>
            <w:tcW w:w="881" w:type="dxa"/>
            <w:vMerge w:val="restart"/>
            <w:tcBorders>
              <w:top w:val="nil"/>
              <w:left w:val="single" w:color="000000" w:sz="8" w:space="0"/>
              <w:bottom w:val="single" w:color="000000" w:sz="8" w:space="0"/>
              <w:right w:val="single" w:color="000000" w:sz="8" w:space="0"/>
            </w:tcBorders>
            <w:shd w:val="clear" w:color="auto" w:fill="auto"/>
            <w:noWrap/>
            <w:vAlign w:val="center"/>
          </w:tcPr>
          <w:p w14:paraId="411B5AE3">
            <w:pPr>
              <w:keepNext w:val="0"/>
              <w:keepLines w:val="0"/>
              <w:widowControl/>
              <w:suppressLineNumbers w:val="0"/>
              <w:snapToGrid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509" w:type="dxa"/>
            <w:vMerge w:val="restart"/>
            <w:tcBorders>
              <w:top w:val="nil"/>
              <w:left w:val="single" w:color="000000" w:sz="8" w:space="0"/>
              <w:bottom w:val="single" w:color="000000" w:sz="8" w:space="0"/>
              <w:right w:val="single" w:color="000000" w:sz="8" w:space="0"/>
            </w:tcBorders>
            <w:shd w:val="clear" w:color="auto" w:fill="auto"/>
            <w:vAlign w:val="center"/>
          </w:tcPr>
          <w:p w14:paraId="1BF89D3F">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项目团队</w:t>
            </w:r>
          </w:p>
        </w:tc>
        <w:tc>
          <w:tcPr>
            <w:tcW w:w="4983" w:type="dxa"/>
            <w:tcBorders>
              <w:top w:val="nil"/>
              <w:left w:val="single" w:color="000000" w:sz="8" w:space="0"/>
              <w:bottom w:val="nil"/>
              <w:right w:val="single" w:color="000000" w:sz="8" w:space="0"/>
            </w:tcBorders>
            <w:shd w:val="clear" w:color="auto" w:fill="auto"/>
            <w:vAlign w:val="center"/>
          </w:tcPr>
          <w:p w14:paraId="6B258EC8">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供应商为本项目配备的项目组成员：</w:t>
            </w:r>
          </w:p>
        </w:tc>
        <w:tc>
          <w:tcPr>
            <w:tcW w:w="5106" w:type="dxa"/>
            <w:vMerge w:val="restart"/>
            <w:tcBorders>
              <w:top w:val="nil"/>
              <w:left w:val="nil"/>
              <w:right w:val="single" w:color="000000" w:sz="8" w:space="0"/>
            </w:tcBorders>
            <w:shd w:val="clear" w:color="auto" w:fill="auto"/>
            <w:vAlign w:val="center"/>
          </w:tcPr>
          <w:p w14:paraId="3AE93FA8">
            <w:pPr>
              <w:snapToGrid w:val="0"/>
              <w:jc w:val="left"/>
              <w:rPr>
                <w:rFonts w:hint="eastAsia" w:ascii="宋体" w:hAnsi="宋体" w:eastAsia="宋体" w:cs="宋体"/>
                <w:i w:val="0"/>
                <w:iCs w:val="0"/>
                <w:color w:val="000000"/>
                <w:sz w:val="21"/>
                <w:szCs w:val="21"/>
                <w:u w:val="none"/>
              </w:rPr>
            </w:pPr>
          </w:p>
        </w:tc>
        <w:tc>
          <w:tcPr>
            <w:tcW w:w="789" w:type="dxa"/>
            <w:vMerge w:val="restart"/>
            <w:tcBorders>
              <w:top w:val="nil"/>
              <w:left w:val="single" w:color="000000" w:sz="8" w:space="0"/>
              <w:bottom w:val="single" w:color="000000" w:sz="8" w:space="0"/>
              <w:right w:val="single" w:color="000000" w:sz="8" w:space="0"/>
            </w:tcBorders>
            <w:shd w:val="clear" w:color="auto" w:fill="auto"/>
            <w:noWrap/>
            <w:vAlign w:val="center"/>
          </w:tcPr>
          <w:p w14:paraId="02FC57AE">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r>
      <w:tr w14:paraId="35F5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continue"/>
            <w:tcBorders>
              <w:top w:val="nil"/>
              <w:left w:val="single" w:color="000000" w:sz="8" w:space="0"/>
              <w:bottom w:val="single" w:color="000000" w:sz="8" w:space="0"/>
              <w:right w:val="single" w:color="000000" w:sz="8" w:space="0"/>
            </w:tcBorders>
            <w:shd w:val="clear" w:color="auto" w:fill="auto"/>
            <w:vAlign w:val="center"/>
          </w:tcPr>
          <w:p w14:paraId="7F496CD4">
            <w:pPr>
              <w:snapToGrid w:val="0"/>
              <w:jc w:val="center"/>
              <w:rPr>
                <w:rFonts w:hint="eastAsia" w:ascii="宋体" w:hAnsi="宋体" w:eastAsia="宋体" w:cs="宋体"/>
                <w:i w:val="0"/>
                <w:iCs w:val="0"/>
                <w:color w:val="000000"/>
                <w:sz w:val="21"/>
                <w:szCs w:val="21"/>
                <w:u w:val="none"/>
              </w:rPr>
            </w:pPr>
          </w:p>
        </w:tc>
        <w:tc>
          <w:tcPr>
            <w:tcW w:w="881"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28432E3">
            <w:pPr>
              <w:snapToGrid w:val="0"/>
              <w:jc w:val="center"/>
              <w:rPr>
                <w:rFonts w:hint="eastAsia" w:ascii="宋体" w:hAnsi="宋体" w:eastAsia="宋体" w:cs="宋体"/>
                <w:i w:val="0"/>
                <w:iCs w:val="0"/>
                <w:color w:val="000000"/>
                <w:sz w:val="21"/>
                <w:szCs w:val="21"/>
                <w:u w:val="none"/>
              </w:rPr>
            </w:pPr>
          </w:p>
        </w:tc>
        <w:tc>
          <w:tcPr>
            <w:tcW w:w="1509" w:type="dxa"/>
            <w:vMerge w:val="continue"/>
            <w:tcBorders>
              <w:top w:val="nil"/>
              <w:left w:val="single" w:color="000000" w:sz="8" w:space="0"/>
              <w:bottom w:val="single" w:color="000000" w:sz="8" w:space="0"/>
              <w:right w:val="single" w:color="000000" w:sz="8" w:space="0"/>
            </w:tcBorders>
            <w:shd w:val="clear" w:color="auto" w:fill="auto"/>
            <w:vAlign w:val="center"/>
          </w:tcPr>
          <w:p w14:paraId="5CE2F39C">
            <w:pPr>
              <w:snapToGrid w:val="0"/>
              <w:jc w:val="left"/>
              <w:rPr>
                <w:rFonts w:hint="eastAsia" w:ascii="宋体" w:hAnsi="宋体" w:eastAsia="宋体" w:cs="宋体"/>
                <w:i w:val="0"/>
                <w:iCs w:val="0"/>
                <w:color w:val="000000"/>
                <w:sz w:val="21"/>
                <w:szCs w:val="21"/>
                <w:u w:val="none"/>
              </w:rPr>
            </w:pPr>
          </w:p>
        </w:tc>
        <w:tc>
          <w:tcPr>
            <w:tcW w:w="4983" w:type="dxa"/>
            <w:tcBorders>
              <w:top w:val="nil"/>
              <w:left w:val="single" w:color="000000" w:sz="8" w:space="0"/>
              <w:right w:val="single" w:color="000000" w:sz="8" w:space="0"/>
            </w:tcBorders>
            <w:shd w:val="clear" w:color="auto" w:fill="auto"/>
            <w:vAlign w:val="center"/>
          </w:tcPr>
          <w:p w14:paraId="39EC75F5">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【须提供人员名单、</w:t>
            </w:r>
            <w:r>
              <w:rPr>
                <w:rFonts w:hint="eastAsia" w:ascii="宋体" w:hAnsi="宋体" w:cs="宋体"/>
                <w:i w:val="0"/>
                <w:iCs w:val="0"/>
                <w:color w:val="000000"/>
                <w:kern w:val="0"/>
                <w:sz w:val="21"/>
                <w:szCs w:val="21"/>
                <w:u w:val="none"/>
                <w:lang w:val="en-US" w:eastAsia="zh-CN" w:bidi="ar"/>
              </w:rPr>
              <w:t>身份证</w:t>
            </w:r>
            <w:r>
              <w:rPr>
                <w:rFonts w:hint="eastAsia" w:ascii="宋体" w:hAnsi="宋体" w:eastAsia="宋体" w:cs="宋体"/>
                <w:i w:val="0"/>
                <w:iCs w:val="0"/>
                <w:color w:val="000000"/>
                <w:kern w:val="0"/>
                <w:sz w:val="21"/>
                <w:szCs w:val="21"/>
                <w:u w:val="none"/>
                <w:lang w:val="en-US" w:eastAsia="zh-CN" w:bidi="ar"/>
              </w:rPr>
              <w:t>扫描件，且须提供本单位连续3个月（且至少包含近3个月中任意1个月份&lt;不含磋商当月&gt;）为其缴纳社保的证明扫描件】</w:t>
            </w:r>
          </w:p>
        </w:tc>
        <w:tc>
          <w:tcPr>
            <w:tcW w:w="5106" w:type="dxa"/>
            <w:vMerge w:val="continue"/>
            <w:tcBorders>
              <w:left w:val="nil"/>
              <w:right w:val="single" w:color="000000" w:sz="8" w:space="0"/>
            </w:tcBorders>
            <w:shd w:val="clear" w:color="auto" w:fill="auto"/>
            <w:vAlign w:val="center"/>
          </w:tcPr>
          <w:p w14:paraId="3223AF78">
            <w:pPr>
              <w:snapToGrid w:val="0"/>
              <w:jc w:val="left"/>
              <w:rPr>
                <w:rFonts w:hint="eastAsia" w:ascii="宋体" w:hAnsi="宋体" w:eastAsia="宋体" w:cs="宋体"/>
                <w:i w:val="0"/>
                <w:iCs w:val="0"/>
                <w:color w:val="000000"/>
                <w:sz w:val="21"/>
                <w:szCs w:val="21"/>
                <w:u w:val="none"/>
              </w:rPr>
            </w:pPr>
          </w:p>
        </w:tc>
        <w:tc>
          <w:tcPr>
            <w:tcW w:w="78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0562315">
            <w:pPr>
              <w:snapToGrid w:val="0"/>
              <w:jc w:val="right"/>
              <w:rPr>
                <w:rFonts w:hint="eastAsia" w:ascii="宋体" w:hAnsi="宋体" w:eastAsia="宋体" w:cs="宋体"/>
                <w:i w:val="0"/>
                <w:iCs w:val="0"/>
                <w:color w:val="000000"/>
                <w:sz w:val="21"/>
                <w:szCs w:val="21"/>
                <w:u w:val="none"/>
              </w:rPr>
            </w:pPr>
          </w:p>
        </w:tc>
      </w:tr>
    </w:tbl>
    <w:p w14:paraId="59B89455">
      <w:pPr>
        <w:pStyle w:val="15"/>
        <w:ind w:firstLine="0" w:firstLineChars="0"/>
        <w:jc w:val="both"/>
        <w:rPr>
          <w:color w:val="000000"/>
        </w:rPr>
        <w:sectPr>
          <w:pgSz w:w="16838" w:h="11906" w:orient="landscape"/>
          <w:pgMar w:top="1797" w:right="1440" w:bottom="1797" w:left="1440" w:header="851" w:footer="992" w:gutter="0"/>
          <w:cols w:space="720" w:num="1"/>
          <w:titlePg/>
          <w:docGrid w:type="lines" w:linePitch="312" w:charSpace="0"/>
        </w:sectPr>
      </w:pPr>
    </w:p>
    <w:p w14:paraId="63ED3F04">
      <w:pPr>
        <w:pStyle w:val="15"/>
        <w:ind w:firstLine="0" w:firstLineChars="0"/>
        <w:jc w:val="both"/>
        <w:rPr>
          <w:rFonts w:hint="eastAsia" w:eastAsia="宋体"/>
          <w:color w:val="000000"/>
          <w:lang w:eastAsia="zh-CN"/>
        </w:rPr>
      </w:pPr>
      <w:r>
        <w:rPr>
          <w:rFonts w:hint="eastAsia"/>
          <w:color w:val="000000"/>
        </w:rPr>
        <w:t xml:space="preserve">   第六部分</w:t>
      </w:r>
      <w:r>
        <w:rPr>
          <w:rFonts w:hint="eastAsia"/>
          <w:color w:val="000000"/>
          <w:lang w:eastAsia="zh-CN"/>
        </w:rPr>
        <w:t>：</w:t>
      </w:r>
      <w:r>
        <w:rPr>
          <w:rFonts w:hint="eastAsia"/>
          <w:color w:val="000000"/>
        </w:rPr>
        <w:t xml:space="preserve"> </w:t>
      </w:r>
      <w:bookmarkStart w:id="6" w:name="_Toc7977"/>
      <w:r>
        <w:rPr>
          <w:rFonts w:hint="eastAsia"/>
          <w:color w:val="000000"/>
        </w:rPr>
        <w:t>淮南东方医院集团系统方案配置</w:t>
      </w:r>
      <w:r>
        <w:rPr>
          <w:rFonts w:hint="eastAsia"/>
          <w:color w:val="000000"/>
          <w:lang w:val="en-US" w:eastAsia="zh-CN"/>
        </w:rPr>
        <w:t>报价</w:t>
      </w:r>
      <w:r>
        <w:rPr>
          <w:rFonts w:hint="eastAsia"/>
          <w:color w:val="000000"/>
        </w:rPr>
        <w:t>清单</w:t>
      </w:r>
      <w:r>
        <w:rPr>
          <w:rFonts w:hint="eastAsia"/>
          <w:color w:val="000000"/>
          <w:lang w:eastAsia="zh-CN"/>
        </w:rPr>
        <w:t>（</w:t>
      </w:r>
      <w:r>
        <w:rPr>
          <w:rFonts w:hint="eastAsia"/>
          <w:color w:val="000000"/>
          <w:lang w:val="en-US" w:eastAsia="zh-CN"/>
        </w:rPr>
        <w:t>含硬件、AI相关、接口部分</w:t>
      </w:r>
      <w:r>
        <w:rPr>
          <w:rFonts w:hint="eastAsia"/>
          <w:color w:val="000000"/>
          <w:lang w:eastAsia="zh-CN"/>
        </w:rPr>
        <w:t>）</w:t>
      </w:r>
    </w:p>
    <w:bookmarkEnd w:id="6"/>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31"/>
        <w:gridCol w:w="2513"/>
        <w:gridCol w:w="1487"/>
      </w:tblGrid>
      <w:tr w14:paraId="51A42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8C5BA">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r>
              <w:rPr>
                <w:rFonts w:hint="eastAsia" w:ascii="宋体" w:hAnsi="宋体" w:cs="宋体"/>
                <w:b/>
                <w:bCs/>
                <w:i w:val="0"/>
                <w:iCs w:val="0"/>
                <w:color w:val="000000"/>
                <w:kern w:val="0"/>
                <w:sz w:val="24"/>
                <w:szCs w:val="24"/>
                <w:u w:val="none"/>
                <w:lang w:val="en-US" w:eastAsia="zh-CN"/>
              </w:rPr>
              <w:t xml:space="preserve">名称  </w:t>
            </w: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558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rPr>
            </w:pPr>
            <w:r>
              <w:rPr>
                <w:rFonts w:hint="eastAsia" w:ascii="宋体" w:hAnsi="宋体" w:cs="宋体"/>
                <w:i w:val="0"/>
                <w:iCs w:val="0"/>
                <w:color w:val="000000"/>
                <w:kern w:val="0"/>
                <w:sz w:val="20"/>
                <w:szCs w:val="20"/>
                <w:u w:val="none"/>
                <w:lang w:val="en-US" w:eastAsia="zh-CN"/>
              </w:rPr>
              <w:t>功能清单</w:t>
            </w: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8BF27">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r>
              <w:rPr>
                <w:rFonts w:hint="eastAsia" w:ascii="宋体" w:hAnsi="宋体" w:cs="宋体"/>
                <w:b/>
                <w:bCs/>
                <w:i w:val="0"/>
                <w:iCs w:val="0"/>
                <w:color w:val="000000"/>
                <w:kern w:val="0"/>
                <w:sz w:val="20"/>
                <w:szCs w:val="20"/>
                <w:u w:val="none"/>
                <w:lang w:val="en-US" w:eastAsia="zh-CN"/>
              </w:rPr>
              <w:t>报价</w:t>
            </w:r>
          </w:p>
        </w:tc>
      </w:tr>
      <w:tr w14:paraId="22D3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AF8C0">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ADEDF">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1488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70E2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exact"/>
          <w:jc w:val="center"/>
        </w:trPr>
        <w:tc>
          <w:tcPr>
            <w:tcW w:w="25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2A02D">
            <w:pPr>
              <w:jc w:val="center"/>
              <w:rPr>
                <w:rFonts w:hint="default" w:ascii="宋体" w:hAnsi="宋体" w:eastAsia="宋体" w:cs="宋体"/>
                <w:b/>
                <w:bCs/>
                <w:i w:val="0"/>
                <w:iCs w:val="0"/>
                <w:color w:val="000000"/>
                <w:sz w:val="20"/>
                <w:szCs w:val="20"/>
                <w:u w:val="none"/>
                <w:lang w:val="en-US"/>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B4C61">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1950D">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2F48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3F835">
            <w:pPr>
              <w:jc w:val="center"/>
              <w:rPr>
                <w:rFonts w:hint="default" w:ascii="宋体" w:hAnsi="宋体" w:eastAsia="宋体" w:cs="宋体"/>
                <w:b/>
                <w:bCs/>
                <w:i w:val="0"/>
                <w:iCs w:val="0"/>
                <w:color w:val="000000"/>
                <w:sz w:val="20"/>
                <w:szCs w:val="20"/>
                <w:u w:val="none"/>
                <w:lang w:val="en-US"/>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BE38D">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0"/>
                <w:szCs w:val="20"/>
                <w:u w:val="none"/>
                <w:lang w:val="en-US"/>
              </w:rPr>
            </w:pP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8853C">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7BC7D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restart"/>
            <w:tcBorders>
              <w:top w:val="single" w:color="000000" w:sz="4" w:space="0"/>
              <w:left w:val="single" w:color="000000" w:sz="4" w:space="0"/>
              <w:right w:val="single" w:color="000000" w:sz="4" w:space="0"/>
            </w:tcBorders>
            <w:shd w:val="clear" w:color="auto" w:fill="auto"/>
            <w:noWrap w:val="0"/>
            <w:vAlign w:val="center"/>
          </w:tcPr>
          <w:p w14:paraId="05427851">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251E7">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1487" w:type="dxa"/>
            <w:vMerge w:val="restart"/>
            <w:tcBorders>
              <w:top w:val="single" w:color="000000" w:sz="4" w:space="0"/>
              <w:left w:val="single" w:color="000000" w:sz="4" w:space="0"/>
              <w:right w:val="single" w:color="000000" w:sz="4" w:space="0"/>
            </w:tcBorders>
            <w:shd w:val="clear" w:color="auto" w:fill="FFFFFF"/>
            <w:noWrap w:val="0"/>
            <w:vAlign w:val="center"/>
          </w:tcPr>
          <w:p w14:paraId="498C027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107A0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7AA077C8">
            <w:pPr>
              <w:jc w:val="center"/>
              <w:rPr>
                <w:rFonts w:hint="default" w:ascii="宋体" w:hAnsi="宋体" w:eastAsia="宋体" w:cs="宋体"/>
                <w:b/>
                <w:bCs/>
                <w:i w:val="0"/>
                <w:iCs w:val="0"/>
                <w:color w:val="000000"/>
                <w:sz w:val="20"/>
                <w:szCs w:val="20"/>
                <w:u w:val="none"/>
                <w:lang w:val="en-US"/>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51C46">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1487" w:type="dxa"/>
            <w:vMerge w:val="continue"/>
            <w:tcBorders>
              <w:left w:val="single" w:color="000000" w:sz="4" w:space="0"/>
              <w:right w:val="single" w:color="000000" w:sz="4" w:space="0"/>
            </w:tcBorders>
            <w:shd w:val="clear" w:color="auto" w:fill="FFFFFF"/>
            <w:noWrap w:val="0"/>
            <w:vAlign w:val="center"/>
          </w:tcPr>
          <w:p w14:paraId="096337CE">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5496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2878802C">
            <w:pPr>
              <w:jc w:val="center"/>
              <w:rPr>
                <w:rFonts w:hint="default" w:ascii="宋体" w:hAnsi="宋体" w:eastAsia="宋体" w:cs="宋体"/>
                <w:b/>
                <w:bCs/>
                <w:i w:val="0"/>
                <w:iCs w:val="0"/>
                <w:color w:val="000000"/>
                <w:sz w:val="20"/>
                <w:szCs w:val="20"/>
                <w:u w:val="none"/>
                <w:lang w:val="en-US"/>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9BA0A">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1487" w:type="dxa"/>
            <w:vMerge w:val="continue"/>
            <w:tcBorders>
              <w:left w:val="single" w:color="000000" w:sz="4" w:space="0"/>
              <w:right w:val="single" w:color="000000" w:sz="4" w:space="0"/>
            </w:tcBorders>
            <w:shd w:val="clear" w:color="auto" w:fill="FFFFFF"/>
            <w:noWrap w:val="0"/>
            <w:vAlign w:val="center"/>
          </w:tcPr>
          <w:p w14:paraId="53298C9C">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358D4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3CBB3100">
            <w:pPr>
              <w:jc w:val="center"/>
              <w:rPr>
                <w:rFonts w:hint="default" w:ascii="宋体" w:hAnsi="宋体" w:eastAsia="宋体" w:cs="宋体"/>
                <w:b/>
                <w:bCs/>
                <w:i w:val="0"/>
                <w:iCs w:val="0"/>
                <w:color w:val="000000"/>
                <w:sz w:val="20"/>
                <w:szCs w:val="20"/>
                <w:u w:val="none"/>
                <w:lang w:val="en-US"/>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236C48">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1487" w:type="dxa"/>
            <w:vMerge w:val="continue"/>
            <w:tcBorders>
              <w:left w:val="single" w:color="000000" w:sz="4" w:space="0"/>
              <w:right w:val="single" w:color="000000" w:sz="4" w:space="0"/>
            </w:tcBorders>
            <w:shd w:val="clear" w:color="auto" w:fill="FFFFFF"/>
            <w:noWrap w:val="0"/>
            <w:vAlign w:val="center"/>
          </w:tcPr>
          <w:p w14:paraId="0DD17865">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63FA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76078A3F">
            <w:pPr>
              <w:jc w:val="center"/>
              <w:rPr>
                <w:rFonts w:hint="default" w:ascii="宋体" w:hAnsi="宋体" w:eastAsia="宋体" w:cs="宋体"/>
                <w:b/>
                <w:bCs/>
                <w:i w:val="0"/>
                <w:iCs w:val="0"/>
                <w:color w:val="000000"/>
                <w:sz w:val="20"/>
                <w:szCs w:val="20"/>
                <w:u w:val="none"/>
                <w:lang w:val="en-US"/>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D6F02">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1487" w:type="dxa"/>
            <w:vMerge w:val="continue"/>
            <w:tcBorders>
              <w:left w:val="single" w:color="000000" w:sz="4" w:space="0"/>
              <w:right w:val="single" w:color="000000" w:sz="4" w:space="0"/>
            </w:tcBorders>
            <w:shd w:val="clear" w:color="auto" w:fill="FFFFFF"/>
            <w:noWrap w:val="0"/>
            <w:vAlign w:val="center"/>
          </w:tcPr>
          <w:p w14:paraId="0A28989F">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658F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20B420A5">
            <w:pPr>
              <w:jc w:val="center"/>
              <w:rPr>
                <w:rFonts w:hint="default" w:ascii="宋体" w:hAnsi="宋体" w:eastAsia="宋体" w:cs="宋体"/>
                <w:b/>
                <w:bCs/>
                <w:i w:val="0"/>
                <w:iCs w:val="0"/>
                <w:color w:val="000000"/>
                <w:sz w:val="20"/>
                <w:szCs w:val="20"/>
                <w:u w:val="none"/>
                <w:lang w:val="en-US"/>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14652">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1487" w:type="dxa"/>
            <w:vMerge w:val="continue"/>
            <w:tcBorders>
              <w:left w:val="single" w:color="000000" w:sz="4" w:space="0"/>
              <w:bottom w:val="single" w:color="000000" w:sz="4" w:space="0"/>
              <w:right w:val="single" w:color="000000" w:sz="4" w:space="0"/>
            </w:tcBorders>
            <w:shd w:val="clear" w:color="auto" w:fill="FFFFFF"/>
            <w:noWrap w:val="0"/>
            <w:vAlign w:val="center"/>
          </w:tcPr>
          <w:p w14:paraId="2D20CF8A">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3C06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bottom w:val="single" w:color="000000" w:sz="4" w:space="0"/>
              <w:right w:val="single" w:color="000000" w:sz="4" w:space="0"/>
            </w:tcBorders>
            <w:shd w:val="clear" w:color="auto" w:fill="auto"/>
            <w:noWrap w:val="0"/>
            <w:vAlign w:val="center"/>
          </w:tcPr>
          <w:p w14:paraId="43D2A8D3">
            <w:pPr>
              <w:jc w:val="center"/>
              <w:rPr>
                <w:rFonts w:hint="default" w:ascii="宋体" w:hAnsi="宋体" w:eastAsia="宋体" w:cs="宋体"/>
                <w:b/>
                <w:bCs/>
                <w:i w:val="0"/>
                <w:iCs w:val="0"/>
                <w:color w:val="000000"/>
                <w:sz w:val="20"/>
                <w:szCs w:val="20"/>
                <w:u w:val="none"/>
                <w:lang w:val="en-US"/>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9AA3D">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22AB4">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63056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restart"/>
            <w:tcBorders>
              <w:top w:val="single" w:color="000000" w:sz="4" w:space="0"/>
              <w:left w:val="single" w:color="000000" w:sz="4" w:space="0"/>
              <w:right w:val="single" w:color="000000" w:sz="4" w:space="0"/>
            </w:tcBorders>
            <w:shd w:val="clear" w:color="auto" w:fill="auto"/>
            <w:noWrap w:val="0"/>
            <w:vAlign w:val="center"/>
          </w:tcPr>
          <w:p w14:paraId="5BF3F494">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4BDA8">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0"/>
                <w:szCs w:val="20"/>
                <w:u w:val="none"/>
                <w:lang w:val="en-US"/>
              </w:rPr>
            </w:pPr>
          </w:p>
        </w:tc>
        <w:tc>
          <w:tcPr>
            <w:tcW w:w="1487" w:type="dxa"/>
            <w:vMerge w:val="restart"/>
            <w:tcBorders>
              <w:top w:val="single" w:color="000000" w:sz="4" w:space="0"/>
              <w:left w:val="single" w:color="000000" w:sz="4" w:space="0"/>
              <w:right w:val="single" w:color="000000" w:sz="4" w:space="0"/>
            </w:tcBorders>
            <w:shd w:val="clear" w:color="auto" w:fill="FFFFFF"/>
            <w:noWrap w:val="0"/>
            <w:vAlign w:val="center"/>
          </w:tcPr>
          <w:p w14:paraId="4FEC6E3D">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6A2F7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20160FB3">
            <w:pPr>
              <w:jc w:val="center"/>
              <w:rPr>
                <w:rFonts w:hint="default" w:ascii="宋体" w:hAnsi="宋体" w:eastAsia="宋体" w:cs="宋体"/>
                <w:b/>
                <w:bCs/>
                <w:i w:val="0"/>
                <w:iCs w:val="0"/>
                <w:color w:val="000000"/>
                <w:sz w:val="22"/>
                <w:szCs w:val="22"/>
                <w:u w:val="none"/>
                <w:lang w:val="en-US"/>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953812">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1487" w:type="dxa"/>
            <w:vMerge w:val="continue"/>
            <w:tcBorders>
              <w:left w:val="single" w:color="000000" w:sz="4" w:space="0"/>
              <w:right w:val="single" w:color="000000" w:sz="4" w:space="0"/>
            </w:tcBorders>
            <w:shd w:val="clear" w:color="auto" w:fill="FFFFFF"/>
            <w:noWrap w:val="0"/>
            <w:vAlign w:val="center"/>
          </w:tcPr>
          <w:p w14:paraId="755E298F">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128E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7A3C697F">
            <w:pPr>
              <w:jc w:val="center"/>
              <w:rPr>
                <w:rFonts w:hint="default" w:ascii="宋体" w:hAnsi="宋体" w:eastAsia="宋体" w:cs="宋体"/>
                <w:b/>
                <w:bCs/>
                <w:i w:val="0"/>
                <w:iCs w:val="0"/>
                <w:color w:val="000000"/>
                <w:sz w:val="22"/>
                <w:szCs w:val="22"/>
                <w:u w:val="none"/>
                <w:lang w:val="en-US"/>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71FF7">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0"/>
                <w:szCs w:val="20"/>
                <w:u w:val="none"/>
                <w:lang w:val="en-US"/>
              </w:rPr>
            </w:pPr>
          </w:p>
        </w:tc>
        <w:tc>
          <w:tcPr>
            <w:tcW w:w="1487" w:type="dxa"/>
            <w:vMerge w:val="continue"/>
            <w:tcBorders>
              <w:left w:val="single" w:color="000000" w:sz="4" w:space="0"/>
              <w:right w:val="single" w:color="000000" w:sz="4" w:space="0"/>
            </w:tcBorders>
            <w:shd w:val="clear" w:color="auto" w:fill="FFFFFF"/>
            <w:noWrap w:val="0"/>
            <w:vAlign w:val="center"/>
          </w:tcPr>
          <w:p w14:paraId="15C3388E">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081A3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4C9D35BA">
            <w:pPr>
              <w:jc w:val="center"/>
              <w:rPr>
                <w:rFonts w:hint="default" w:ascii="宋体" w:hAnsi="宋体" w:eastAsia="宋体" w:cs="宋体"/>
                <w:b/>
                <w:bCs/>
                <w:i w:val="0"/>
                <w:iCs w:val="0"/>
                <w:color w:val="000000"/>
                <w:sz w:val="22"/>
                <w:szCs w:val="22"/>
                <w:u w:val="none"/>
                <w:lang w:val="en-US"/>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D8694">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0"/>
                <w:szCs w:val="20"/>
                <w:u w:val="none"/>
                <w:lang w:val="en-US"/>
              </w:rPr>
            </w:pPr>
          </w:p>
        </w:tc>
        <w:tc>
          <w:tcPr>
            <w:tcW w:w="1487" w:type="dxa"/>
            <w:vMerge w:val="continue"/>
            <w:tcBorders>
              <w:left w:val="single" w:color="000000" w:sz="4" w:space="0"/>
              <w:right w:val="single" w:color="000000" w:sz="4" w:space="0"/>
            </w:tcBorders>
            <w:shd w:val="clear" w:color="auto" w:fill="FFFFFF"/>
            <w:noWrap w:val="0"/>
            <w:vAlign w:val="center"/>
          </w:tcPr>
          <w:p w14:paraId="52E27A8A">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091D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2341206E">
            <w:pPr>
              <w:jc w:val="center"/>
              <w:rPr>
                <w:rFonts w:hint="default" w:ascii="宋体" w:hAnsi="宋体" w:eastAsia="宋体" w:cs="宋体"/>
                <w:b/>
                <w:bCs/>
                <w:i w:val="0"/>
                <w:iCs w:val="0"/>
                <w:color w:val="000000"/>
                <w:sz w:val="22"/>
                <w:szCs w:val="22"/>
                <w:u w:val="none"/>
                <w:lang w:val="en-US"/>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826B8">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0"/>
                <w:szCs w:val="20"/>
                <w:u w:val="none"/>
                <w:lang w:val="en-US"/>
              </w:rPr>
            </w:pPr>
          </w:p>
        </w:tc>
        <w:tc>
          <w:tcPr>
            <w:tcW w:w="1487" w:type="dxa"/>
            <w:vMerge w:val="continue"/>
            <w:tcBorders>
              <w:left w:val="single" w:color="000000" w:sz="4" w:space="0"/>
              <w:right w:val="single" w:color="000000" w:sz="4" w:space="0"/>
            </w:tcBorders>
            <w:shd w:val="clear" w:color="auto" w:fill="FFFFFF"/>
            <w:noWrap w:val="0"/>
            <w:vAlign w:val="center"/>
          </w:tcPr>
          <w:p w14:paraId="0C575D19">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515E2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0A275160">
            <w:pPr>
              <w:jc w:val="center"/>
              <w:rPr>
                <w:rFonts w:hint="default" w:ascii="宋体" w:hAnsi="宋体" w:eastAsia="宋体" w:cs="宋体"/>
                <w:b/>
                <w:bCs/>
                <w:i w:val="0"/>
                <w:iCs w:val="0"/>
                <w:color w:val="000000"/>
                <w:sz w:val="22"/>
                <w:szCs w:val="22"/>
                <w:u w:val="none"/>
                <w:lang w:val="en-US"/>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DE6E9">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0"/>
                <w:szCs w:val="20"/>
                <w:u w:val="none"/>
                <w:lang w:val="en-US"/>
              </w:rPr>
            </w:pPr>
          </w:p>
        </w:tc>
        <w:tc>
          <w:tcPr>
            <w:tcW w:w="1487" w:type="dxa"/>
            <w:vMerge w:val="continue"/>
            <w:tcBorders>
              <w:left w:val="single" w:color="000000" w:sz="4" w:space="0"/>
              <w:right w:val="single" w:color="000000" w:sz="4" w:space="0"/>
            </w:tcBorders>
            <w:shd w:val="clear" w:color="auto" w:fill="FFFFFF"/>
            <w:noWrap w:val="0"/>
            <w:vAlign w:val="center"/>
          </w:tcPr>
          <w:p w14:paraId="5550C10F">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39B2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0CCB94C7">
            <w:pPr>
              <w:jc w:val="center"/>
              <w:rPr>
                <w:rFonts w:hint="default" w:ascii="宋体" w:hAnsi="宋体" w:eastAsia="宋体" w:cs="宋体"/>
                <w:b/>
                <w:bCs/>
                <w:i w:val="0"/>
                <w:iCs w:val="0"/>
                <w:color w:val="000000"/>
                <w:sz w:val="22"/>
                <w:szCs w:val="22"/>
                <w:u w:val="none"/>
                <w:lang w:val="en-US"/>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77C77">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0"/>
                <w:szCs w:val="20"/>
                <w:u w:val="none"/>
                <w:lang w:val="en-US"/>
              </w:rPr>
            </w:pPr>
          </w:p>
        </w:tc>
        <w:tc>
          <w:tcPr>
            <w:tcW w:w="1487" w:type="dxa"/>
            <w:vMerge w:val="continue"/>
            <w:tcBorders>
              <w:left w:val="single" w:color="000000" w:sz="4" w:space="0"/>
              <w:right w:val="single" w:color="000000" w:sz="4" w:space="0"/>
            </w:tcBorders>
            <w:shd w:val="clear" w:color="auto" w:fill="FFFFFF"/>
            <w:noWrap w:val="0"/>
            <w:vAlign w:val="center"/>
          </w:tcPr>
          <w:p w14:paraId="655E39AE">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6A21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bottom w:val="single" w:color="000000" w:sz="4" w:space="0"/>
              <w:right w:val="single" w:color="000000" w:sz="4" w:space="0"/>
            </w:tcBorders>
            <w:shd w:val="clear" w:color="auto" w:fill="auto"/>
            <w:noWrap w:val="0"/>
            <w:vAlign w:val="center"/>
          </w:tcPr>
          <w:p w14:paraId="015BC693">
            <w:pPr>
              <w:jc w:val="center"/>
              <w:rPr>
                <w:rFonts w:hint="default" w:ascii="宋体" w:hAnsi="宋体" w:eastAsia="宋体" w:cs="宋体"/>
                <w:b/>
                <w:bCs/>
                <w:i w:val="0"/>
                <w:iCs w:val="0"/>
                <w:color w:val="000000"/>
                <w:sz w:val="22"/>
                <w:szCs w:val="22"/>
                <w:u w:val="none"/>
                <w:lang w:val="en-US"/>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700C9">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1487" w:type="dxa"/>
            <w:vMerge w:val="continue"/>
            <w:tcBorders>
              <w:left w:val="single" w:color="000000" w:sz="4" w:space="0"/>
              <w:bottom w:val="single" w:color="000000" w:sz="4" w:space="0"/>
              <w:right w:val="single" w:color="000000" w:sz="4" w:space="0"/>
            </w:tcBorders>
            <w:shd w:val="clear" w:color="auto" w:fill="FFFFFF"/>
            <w:noWrap w:val="0"/>
            <w:vAlign w:val="center"/>
          </w:tcPr>
          <w:p w14:paraId="7B6FA1C6">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5762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exact"/>
          <w:jc w:val="center"/>
        </w:trPr>
        <w:tc>
          <w:tcPr>
            <w:tcW w:w="253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0AC27">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06E4F">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1487" w:type="dxa"/>
            <w:vMerge w:val="restart"/>
            <w:tcBorders>
              <w:top w:val="single" w:color="000000" w:sz="4" w:space="0"/>
              <w:left w:val="single" w:color="000000" w:sz="4" w:space="0"/>
              <w:right w:val="single" w:color="000000" w:sz="4" w:space="0"/>
            </w:tcBorders>
            <w:shd w:val="clear" w:color="auto" w:fill="FFFFFF"/>
            <w:noWrap w:val="0"/>
            <w:vAlign w:val="center"/>
          </w:tcPr>
          <w:p w14:paraId="7A4005F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643B6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6D9A4">
            <w:pPr>
              <w:jc w:val="center"/>
              <w:rPr>
                <w:rFonts w:hint="default" w:ascii="宋体" w:hAnsi="宋体" w:eastAsia="宋体" w:cs="宋体"/>
                <w:b/>
                <w:bCs/>
                <w:i w:val="0"/>
                <w:iCs w:val="0"/>
                <w:color w:val="000000"/>
                <w:sz w:val="20"/>
                <w:szCs w:val="20"/>
                <w:u w:val="none"/>
                <w:lang w:val="en-US"/>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12928">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1487" w:type="dxa"/>
            <w:vMerge w:val="continue"/>
            <w:tcBorders>
              <w:left w:val="single" w:color="000000" w:sz="4" w:space="0"/>
              <w:bottom w:val="single" w:color="000000" w:sz="4" w:space="0"/>
              <w:right w:val="single" w:color="000000" w:sz="4" w:space="0"/>
            </w:tcBorders>
            <w:shd w:val="clear" w:color="auto" w:fill="FFFFFF"/>
            <w:noWrap w:val="0"/>
            <w:vAlign w:val="center"/>
          </w:tcPr>
          <w:p w14:paraId="424E6932">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7F6A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8DF46">
            <w:pPr>
              <w:jc w:val="center"/>
              <w:rPr>
                <w:rFonts w:hint="default" w:ascii="宋体" w:hAnsi="宋体" w:eastAsia="宋体" w:cs="宋体"/>
                <w:b/>
                <w:bCs/>
                <w:i w:val="0"/>
                <w:iCs w:val="0"/>
                <w:color w:val="000000"/>
                <w:sz w:val="20"/>
                <w:szCs w:val="20"/>
                <w:u w:val="none"/>
                <w:lang w:val="en-US"/>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D11DE">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C73F5">
            <w:pPr>
              <w:keepNext w:val="0"/>
              <w:keepLines w:val="0"/>
              <w:widowControl/>
              <w:suppressLineNumbers w:val="0"/>
              <w:jc w:val="both"/>
              <w:textAlignment w:val="center"/>
              <w:rPr>
                <w:rFonts w:hint="default" w:ascii="宋体" w:hAnsi="宋体" w:eastAsia="宋体" w:cs="宋体"/>
                <w:b/>
                <w:bCs/>
                <w:i w:val="0"/>
                <w:iCs w:val="0"/>
                <w:color w:val="000000"/>
                <w:kern w:val="0"/>
                <w:sz w:val="20"/>
                <w:szCs w:val="20"/>
                <w:u w:val="none"/>
                <w:lang w:val="en-US" w:eastAsia="zh-CN"/>
              </w:rPr>
            </w:pPr>
          </w:p>
        </w:tc>
      </w:tr>
      <w:tr w14:paraId="453A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0075BFD">
            <w:pPr>
              <w:jc w:val="center"/>
              <w:rPr>
                <w:rFonts w:hint="default" w:ascii="宋体" w:hAnsi="宋体" w:eastAsia="宋体" w:cs="宋体"/>
                <w:b/>
                <w:bCs/>
                <w:i w:val="0"/>
                <w:iCs w:val="0"/>
                <w:color w:val="000000"/>
                <w:sz w:val="20"/>
                <w:szCs w:val="20"/>
                <w:u w:val="none"/>
                <w:lang w:val="en-US"/>
              </w:rPr>
            </w:pPr>
          </w:p>
        </w:tc>
        <w:tc>
          <w:tcPr>
            <w:tcW w:w="2513"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2D6FB743">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14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E28024">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2826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8876B1">
            <w:pPr>
              <w:jc w:val="center"/>
              <w:rPr>
                <w:rFonts w:hint="default" w:ascii="宋体" w:hAnsi="宋体" w:eastAsia="宋体" w:cs="宋体"/>
                <w:b/>
                <w:bCs/>
                <w:i w:val="0"/>
                <w:iCs w:val="0"/>
                <w:color w:val="000000"/>
                <w:sz w:val="20"/>
                <w:szCs w:val="20"/>
                <w:u w:val="none"/>
                <w:lang w:val="en-US" w:eastAsia="zh-CN"/>
              </w:rPr>
            </w:pPr>
          </w:p>
        </w:tc>
        <w:tc>
          <w:tcPr>
            <w:tcW w:w="2513"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6E6036C6">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14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28CCB0">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55AA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90A1FB">
            <w:pPr>
              <w:jc w:val="center"/>
              <w:rPr>
                <w:rFonts w:hint="default" w:ascii="宋体" w:hAnsi="宋体" w:eastAsia="宋体" w:cs="宋体"/>
                <w:b/>
                <w:bCs/>
                <w:i w:val="0"/>
                <w:iCs w:val="0"/>
                <w:color w:val="000000"/>
                <w:sz w:val="20"/>
                <w:szCs w:val="20"/>
                <w:u w:val="none"/>
                <w:lang w:val="en-US" w:eastAsia="zh-CN"/>
              </w:rPr>
            </w:pPr>
          </w:p>
        </w:tc>
        <w:tc>
          <w:tcPr>
            <w:tcW w:w="2513"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35586052">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14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271E27">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51C98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B80377">
            <w:pPr>
              <w:jc w:val="center"/>
              <w:rPr>
                <w:rFonts w:hint="default" w:ascii="宋体" w:hAnsi="宋体" w:cs="宋体"/>
                <w:b/>
                <w:bCs/>
                <w:i w:val="0"/>
                <w:iCs w:val="0"/>
                <w:color w:val="000000"/>
                <w:sz w:val="20"/>
                <w:szCs w:val="20"/>
                <w:u w:val="none"/>
                <w:lang w:val="en-US" w:eastAsia="zh-CN"/>
              </w:rPr>
            </w:pPr>
          </w:p>
        </w:tc>
        <w:tc>
          <w:tcPr>
            <w:tcW w:w="2513"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668946DA">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14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03ABAB">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7D66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CF71D5">
            <w:pPr>
              <w:jc w:val="center"/>
              <w:rPr>
                <w:rFonts w:hint="default" w:ascii="宋体" w:hAnsi="宋体" w:cs="宋体"/>
                <w:b/>
                <w:bCs/>
                <w:i w:val="0"/>
                <w:iCs w:val="0"/>
                <w:color w:val="000000"/>
                <w:sz w:val="20"/>
                <w:szCs w:val="20"/>
                <w:u w:val="none"/>
                <w:lang w:val="en-US" w:eastAsia="zh-CN"/>
              </w:rPr>
            </w:pPr>
          </w:p>
        </w:tc>
        <w:tc>
          <w:tcPr>
            <w:tcW w:w="2513"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14:paraId="5E6F311B">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14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7BFA80">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bl>
    <w:p w14:paraId="0CE47EB2">
      <w:pPr>
        <w:ind w:firstLine="480"/>
        <w:rPr>
          <w:color w:val="000000"/>
          <w:sz w:val="24"/>
        </w:rPr>
      </w:pPr>
    </w:p>
    <w:p w14:paraId="146560B4">
      <w:pPr>
        <w:pStyle w:val="8"/>
        <w:ind w:firstLine="0" w:firstLineChars="0"/>
        <w:jc w:val="both"/>
        <w:rPr>
          <w:color w:val="000000"/>
        </w:rPr>
      </w:pPr>
    </w:p>
    <w:p w14:paraId="0D479F89">
      <w:pPr>
        <w:ind w:firstLine="420"/>
        <w:rPr>
          <w:color w:val="000000"/>
        </w:rPr>
      </w:pPr>
    </w:p>
    <w:p w14:paraId="1EB9034F">
      <w:pPr>
        <w:pStyle w:val="8"/>
        <w:ind w:firstLine="0" w:firstLineChars="0"/>
        <w:jc w:val="both"/>
        <w:rPr>
          <w:color w:val="000000"/>
        </w:rPr>
      </w:pPr>
    </w:p>
    <w:p w14:paraId="3DA72556">
      <w:pPr>
        <w:ind w:firstLine="5760" w:firstLineChars="2400"/>
        <w:rPr>
          <w:color w:val="000000"/>
          <w:sz w:val="24"/>
        </w:rPr>
      </w:pPr>
      <w:r>
        <w:rPr>
          <w:rFonts w:hint="eastAsia"/>
          <w:color w:val="000000"/>
          <w:sz w:val="24"/>
        </w:rPr>
        <w:t>标人公章</w:t>
      </w:r>
    </w:p>
    <w:p w14:paraId="6A79F440">
      <w:pPr>
        <w:ind w:firstLine="480"/>
        <w:rPr>
          <w:color w:val="000000"/>
          <w:sz w:val="24"/>
        </w:rPr>
      </w:pPr>
    </w:p>
    <w:p w14:paraId="060492A2">
      <w:pPr>
        <w:rPr>
          <w:rFonts w:hint="default" w:eastAsia="宋体"/>
          <w:lang w:val="en-US" w:eastAsia="zh-CN"/>
        </w:rPr>
      </w:pPr>
      <w:r>
        <w:rPr>
          <w:rFonts w:hint="eastAsia"/>
          <w:color w:val="000000"/>
          <w:sz w:val="24"/>
        </w:rPr>
        <w:t xml:space="preserve">            </w:t>
      </w:r>
      <w:r>
        <w:rPr>
          <w:rFonts w:hint="eastAsia"/>
          <w:sz w:val="24"/>
        </w:rPr>
        <w:t xml:space="preserve">                                 20</w:t>
      </w:r>
      <w:r>
        <w:rPr>
          <w:rFonts w:hint="eastAsia"/>
          <w:sz w:val="24"/>
          <w:lang w:val="en-US" w:eastAsia="zh-CN"/>
        </w:rPr>
        <w:t>26</w:t>
      </w:r>
      <w:r>
        <w:rPr>
          <w:rFonts w:hint="eastAsia"/>
          <w:sz w:val="24"/>
        </w:rPr>
        <w:t>年</w:t>
      </w:r>
      <w:r>
        <w:rPr>
          <w:rFonts w:hint="eastAsia"/>
          <w:sz w:val="24"/>
          <w:lang w:val="en-US" w:eastAsia="zh-CN"/>
        </w:rPr>
        <w:t>07月</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62C03">
    <w:pPr>
      <w:pStyle w:val="6"/>
      <w:pBdr>
        <w:top w:val="single" w:color="auto" w:sz="4" w:space="1"/>
      </w:pBdr>
      <w:tabs>
        <w:tab w:val="clear" w:pos="4153"/>
      </w:tabs>
      <w:ind w:firstLine="420"/>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02366D">
                          <w:pPr>
                            <w:pStyle w:val="6"/>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13</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14:paraId="4802366D">
                    <w:pPr>
                      <w:pStyle w:val="6"/>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13</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46B34">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F35B3">
    <w:pPr>
      <w:pStyle w:val="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7F996">
                          <w:pPr>
                            <w:pStyle w:val="6"/>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13</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14:paraId="14E7F996">
                    <w:pPr>
                      <w:pStyle w:val="6"/>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7AC7">
    <w:pPr>
      <w:pStyle w:val="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9E11F">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6A47E">
    <w:pPr>
      <w:pStyle w:val="7"/>
      <w:pBdr>
        <w:bottom w:val="single" w:color="auto" w:sz="4"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039D8"/>
    <w:multiLevelType w:val="multilevel"/>
    <w:tmpl w:val="093039D8"/>
    <w:lvl w:ilvl="0" w:tentative="0">
      <w:start w:val="1"/>
      <w:numFmt w:val="chineseCountingThousand"/>
      <w:lvlText w:val="%1、"/>
      <w:lvlJc w:val="left"/>
      <w:pPr>
        <w:tabs>
          <w:tab w:val="left" w:pos="900"/>
        </w:tabs>
        <w:ind w:left="900" w:hanging="420"/>
      </w:pPr>
      <w:rPr>
        <w:rFonts w:hint="eastAsia"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E3335B3"/>
    <w:multiLevelType w:val="multilevel"/>
    <w:tmpl w:val="1E3335B3"/>
    <w:lvl w:ilvl="0" w:tentative="0">
      <w:start w:val="1"/>
      <w:numFmt w:val="chineseCountingThousand"/>
      <w:lvlText w:val="%1、"/>
      <w:lvlJc w:val="left"/>
      <w:pPr>
        <w:tabs>
          <w:tab w:val="left" w:pos="900"/>
        </w:tabs>
        <w:ind w:left="900" w:hanging="420"/>
      </w:pPr>
      <w:rPr>
        <w:rFonts w:hint="eastAsia"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24A2565"/>
    <w:multiLevelType w:val="multilevel"/>
    <w:tmpl w:val="224A2565"/>
    <w:lvl w:ilvl="0" w:tentative="0">
      <w:start w:val="1"/>
      <w:numFmt w:val="decimal"/>
      <w:lvlText w:val="%1."/>
      <w:lvlJc w:val="left"/>
      <w:pPr>
        <w:tabs>
          <w:tab w:val="left" w:pos="900"/>
        </w:tabs>
        <w:ind w:left="900" w:hanging="420"/>
      </w:pPr>
    </w:lvl>
    <w:lvl w:ilvl="1" w:tentative="0">
      <w:start w:val="1"/>
      <w:numFmt w:val="decimal"/>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E412643"/>
    <w:multiLevelType w:val="multilevel"/>
    <w:tmpl w:val="2E412643"/>
    <w:lvl w:ilvl="0" w:tentative="0">
      <w:start w:val="1"/>
      <w:numFmt w:val="decimal"/>
      <w:lvlText w:val="%1."/>
      <w:lvlJc w:val="left"/>
      <w:pPr>
        <w:tabs>
          <w:tab w:val="left" w:pos="900"/>
        </w:tabs>
        <w:ind w:left="900" w:hanging="420"/>
      </w:pPr>
    </w:lvl>
    <w:lvl w:ilvl="1" w:tentative="0">
      <w:start w:val="1"/>
      <w:numFmt w:val="decimal"/>
      <w:lvlText w:val="%2)"/>
      <w:lvlJc w:val="left"/>
      <w:pPr>
        <w:tabs>
          <w:tab w:val="left" w:pos="1140"/>
        </w:tabs>
        <w:ind w:left="1140" w:hanging="420"/>
      </w:p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2E872C49"/>
    <w:multiLevelType w:val="multilevel"/>
    <w:tmpl w:val="2E872C49"/>
    <w:lvl w:ilvl="0" w:tentative="0">
      <w:start w:val="1"/>
      <w:numFmt w:val="decimal"/>
      <w:lvlText w:val="%1)"/>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5">
    <w:nsid w:val="4E3F0CE4"/>
    <w:multiLevelType w:val="multilevel"/>
    <w:tmpl w:val="4E3F0CE4"/>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5A5F49DA"/>
    <w:multiLevelType w:val="multilevel"/>
    <w:tmpl w:val="5A5F49DA"/>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5EC32F1B"/>
    <w:multiLevelType w:val="multilevel"/>
    <w:tmpl w:val="5EC32F1B"/>
    <w:lvl w:ilvl="0" w:tentative="0">
      <w:start w:val="1"/>
      <w:numFmt w:val="chineseCountingThousand"/>
      <w:lvlText w:val="%1、"/>
      <w:lvlJc w:val="left"/>
      <w:pPr>
        <w:tabs>
          <w:tab w:val="left" w:pos="900"/>
        </w:tabs>
        <w:ind w:left="900" w:hanging="420"/>
      </w:pPr>
      <w:rPr>
        <w:rFonts w:hint="eastAsia"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FD81C8D"/>
    <w:multiLevelType w:val="multilevel"/>
    <w:tmpl w:val="5FD81C8D"/>
    <w:lvl w:ilvl="0" w:tentative="0">
      <w:start w:val="1"/>
      <w:numFmt w:val="decimal"/>
      <w:lvlText w:val="%1."/>
      <w:lvlJc w:val="left"/>
      <w:pPr>
        <w:tabs>
          <w:tab w:val="left" w:pos="900"/>
        </w:tabs>
        <w:ind w:left="900" w:hanging="420"/>
      </w:pPr>
    </w:lvl>
    <w:lvl w:ilvl="1" w:tentative="0">
      <w:start w:val="1"/>
      <w:numFmt w:val="decimal"/>
      <w:lvlText w:val="%2）"/>
      <w:lvlJc w:val="left"/>
      <w:pPr>
        <w:tabs>
          <w:tab w:val="left" w:pos="1260"/>
        </w:tabs>
        <w:ind w:left="1260"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6F433043"/>
    <w:multiLevelType w:val="multilevel"/>
    <w:tmpl w:val="6F433043"/>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725C0E54"/>
    <w:multiLevelType w:val="multilevel"/>
    <w:tmpl w:val="725C0E54"/>
    <w:lvl w:ilvl="0" w:tentative="0">
      <w:start w:val="1"/>
      <w:numFmt w:val="decimal"/>
      <w:lvlText w:val="%1."/>
      <w:lvlJc w:val="left"/>
      <w:pPr>
        <w:tabs>
          <w:tab w:val="left" w:pos="900"/>
        </w:tabs>
        <w:ind w:left="900" w:hanging="420"/>
      </w:pPr>
    </w:lvl>
    <w:lvl w:ilvl="1" w:tentative="0">
      <w:start w:val="1"/>
      <w:numFmt w:val="decimal"/>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748022CB"/>
    <w:multiLevelType w:val="multilevel"/>
    <w:tmpl w:val="748022CB"/>
    <w:lvl w:ilvl="0" w:tentative="0">
      <w:start w:val="1"/>
      <w:numFmt w:val="decimal"/>
      <w:lvlText w:val="%1)"/>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12">
    <w:nsid w:val="78301C5A"/>
    <w:multiLevelType w:val="multilevel"/>
    <w:tmpl w:val="78301C5A"/>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7"/>
  </w:num>
  <w:num w:numId="3">
    <w:abstractNumId w:val="3"/>
  </w:num>
  <w:num w:numId="4">
    <w:abstractNumId w:val="12"/>
  </w:num>
  <w:num w:numId="5">
    <w:abstractNumId w:val="8"/>
  </w:num>
  <w:num w:numId="6">
    <w:abstractNumId w:val="4"/>
  </w:num>
  <w:num w:numId="7">
    <w:abstractNumId w:val="11"/>
  </w:num>
  <w:num w:numId="8">
    <w:abstractNumId w:val="5"/>
  </w:num>
  <w:num w:numId="9">
    <w:abstractNumId w:val="0"/>
  </w:num>
  <w:num w:numId="10">
    <w:abstractNumId w:val="6"/>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0690F"/>
    <w:rsid w:val="10303AE2"/>
    <w:rsid w:val="15624E21"/>
    <w:rsid w:val="16A0690F"/>
    <w:rsid w:val="27F21F9C"/>
    <w:rsid w:val="28B1694E"/>
    <w:rsid w:val="2966596B"/>
    <w:rsid w:val="2A0D71DF"/>
    <w:rsid w:val="34366547"/>
    <w:rsid w:val="3C0119F6"/>
    <w:rsid w:val="3CB82D3D"/>
    <w:rsid w:val="412C2B66"/>
    <w:rsid w:val="47847424"/>
    <w:rsid w:val="486B45B1"/>
    <w:rsid w:val="4FAB400F"/>
    <w:rsid w:val="50097ED6"/>
    <w:rsid w:val="5C441A74"/>
    <w:rsid w:val="67031435"/>
    <w:rsid w:val="6E66587A"/>
    <w:rsid w:val="75D85A64"/>
    <w:rsid w:val="77A95CDF"/>
    <w:rsid w:val="77D210A2"/>
    <w:rsid w:val="79B37C49"/>
    <w:rsid w:val="7EBE3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firstLineChars="0"/>
      <w:jc w:val="left"/>
    </w:pPr>
    <w:rPr>
      <w:rFonts w:ascii="宋体"/>
      <w:kern w:val="0"/>
      <w:sz w:val="24"/>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character" w:styleId="11">
    <w:name w:val="Emphasis"/>
    <w:basedOn w:val="10"/>
    <w:qFormat/>
    <w:uiPriority w:val="0"/>
    <w:rPr>
      <w:i/>
    </w:rPr>
  </w:style>
  <w:style w:type="paragraph" w:customStyle="1" w:styleId="12">
    <w:name w:val="样式 样式 首行缩进:  2 字符 + 宋体 首行缩进:  2 字符"/>
    <w:basedOn w:val="13"/>
    <w:qFormat/>
    <w:uiPriority w:val="0"/>
    <w:pPr>
      <w:spacing w:before="50" w:beforeLines="50" w:after="50" w:afterLines="50"/>
      <w:ind w:firstLine="200"/>
    </w:pPr>
    <w:rPr>
      <w:rFonts w:ascii="宋体" w:hAnsi="宋体"/>
      <w:szCs w:val="20"/>
    </w:rPr>
  </w:style>
  <w:style w:type="paragraph" w:customStyle="1" w:styleId="13">
    <w:name w:val="样式 首行缩进:  2 字符"/>
    <w:basedOn w:val="1"/>
    <w:qFormat/>
    <w:uiPriority w:val="0"/>
    <w:pPr>
      <w:ind w:firstLine="420"/>
    </w:pPr>
    <w:rPr>
      <w:rFonts w:cs="宋体"/>
      <w:sz w:val="24"/>
    </w:rPr>
  </w:style>
  <w:style w:type="paragraph" w:customStyle="1" w:styleId="14">
    <w:name w:val="样式 标题 1 + 首行缩进:  2 字符"/>
    <w:basedOn w:val="2"/>
    <w:qFormat/>
    <w:uiPriority w:val="0"/>
    <w:pPr>
      <w:ind w:firstLine="883"/>
      <w:jc w:val="center"/>
    </w:pPr>
    <w:rPr>
      <w:rFonts w:cs="宋体"/>
      <w:szCs w:val="20"/>
    </w:rPr>
  </w:style>
  <w:style w:type="paragraph" w:customStyle="1" w:styleId="15">
    <w:name w:val="样式 标题 2 + 首行缩进:  2 字符"/>
    <w:basedOn w:val="3"/>
    <w:qFormat/>
    <w:uiPriority w:val="0"/>
    <w:pPr>
      <w:ind w:firstLine="643"/>
      <w:jc w:val="center"/>
    </w:pPr>
    <w:rPr>
      <w:rFonts w:eastAsia="宋体" w:cs="宋体"/>
      <w:b w:val="0"/>
      <w:sz w:val="28"/>
      <w:szCs w:val="20"/>
    </w:rPr>
  </w:style>
  <w:style w:type="paragraph" w:customStyle="1" w:styleId="16">
    <w:name w:val="样式 样式 首行缩进:  2 字符 + 宋体"/>
    <w:basedOn w:val="13"/>
    <w:qFormat/>
    <w:uiPriority w:val="0"/>
    <w:pPr>
      <w:spacing w:before="50" w:beforeLines="50" w:after="50" w:afterLines="50"/>
      <w:ind w:firstLine="200"/>
    </w:pPr>
    <w:rPr>
      <w:rFonts w:ascii="宋体" w:hAnsi="宋体"/>
    </w:rPr>
  </w:style>
  <w:style w:type="character" w:customStyle="1" w:styleId="17">
    <w:name w:val="font31"/>
    <w:basedOn w:val="10"/>
    <w:qFormat/>
    <w:uiPriority w:val="0"/>
    <w:rPr>
      <w:rFonts w:hint="eastAsia" w:ascii="宋体" w:hAnsi="宋体" w:eastAsia="宋体" w:cs="宋体"/>
      <w:color w:val="000000"/>
      <w:sz w:val="21"/>
      <w:szCs w:val="21"/>
      <w:u w:val="none"/>
    </w:rPr>
  </w:style>
  <w:style w:type="character" w:customStyle="1" w:styleId="18">
    <w:name w:val="font61"/>
    <w:basedOn w:val="10"/>
    <w:qFormat/>
    <w:uiPriority w:val="0"/>
    <w:rPr>
      <w:rFonts w:hint="default" w:ascii="Times New Roman" w:hAnsi="Times New Roman" w:cs="Times New Roman"/>
      <w:color w:val="000000"/>
      <w:sz w:val="21"/>
      <w:szCs w:val="21"/>
      <w:u w:val="none"/>
    </w:rPr>
  </w:style>
  <w:style w:type="character" w:customStyle="1" w:styleId="19">
    <w:name w:val="font21"/>
    <w:basedOn w:val="10"/>
    <w:qFormat/>
    <w:uiPriority w:val="0"/>
    <w:rPr>
      <w:rFonts w:hint="eastAsia" w:ascii="宋体" w:hAnsi="宋体" w:eastAsia="宋体" w:cs="宋体"/>
      <w:color w:val="000000"/>
      <w:sz w:val="21"/>
      <w:szCs w:val="21"/>
      <w:u w:val="none"/>
    </w:rPr>
  </w:style>
  <w:style w:type="character" w:customStyle="1" w:styleId="20">
    <w:name w:val="font41"/>
    <w:basedOn w:val="10"/>
    <w:qFormat/>
    <w:uiPriority w:val="0"/>
    <w:rPr>
      <w:rFonts w:hint="eastAsia" w:ascii="宋体" w:hAnsi="宋体" w:eastAsia="宋体" w:cs="宋体"/>
      <w:b/>
      <w:bCs/>
      <w:color w:val="000000"/>
      <w:sz w:val="24"/>
      <w:szCs w:val="24"/>
      <w:u w:val="none"/>
    </w:rPr>
  </w:style>
  <w:style w:type="character" w:customStyle="1" w:styleId="21">
    <w:name w:val="font51"/>
    <w:basedOn w:val="10"/>
    <w:qFormat/>
    <w:uiPriority w:val="0"/>
    <w:rPr>
      <w:rFonts w:hint="eastAsia" w:ascii="宋体" w:hAnsi="宋体" w:eastAsia="宋体" w:cs="宋体"/>
      <w:color w:val="000000"/>
      <w:sz w:val="24"/>
      <w:szCs w:val="24"/>
      <w:u w:val="none"/>
    </w:rPr>
  </w:style>
  <w:style w:type="paragraph" w:customStyle="1" w:styleId="22">
    <w:name w:val="正文 A"/>
    <w:qFormat/>
    <w:uiPriority w:val="0"/>
    <w:pPr>
      <w:widowControl w:val="0"/>
      <w:jc w:val="both"/>
    </w:pPr>
    <w:rPr>
      <w:rFonts w:eastAsia="Arial Unicode MS" w:cs="Arial Unicode MS" w:asciiTheme="minorHAnsi" w:hAnsiTheme="minorHAnsi"/>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3869</Words>
  <Characters>4020</Characters>
  <Lines>0</Lines>
  <Paragraphs>0</Paragraphs>
  <TotalTime>17</TotalTime>
  <ScaleCrop>false</ScaleCrop>
  <LinksUpToDate>false</LinksUpToDate>
  <CharactersWithSpaces>4099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2025-09-13T03:39:00Z</dcterms:created>
  <dc:creator>tomy</dc:creator>
  <cp:lastModifiedBy>tomy</cp:lastModifiedBy>
  <dcterms:modified xsi:type="dcterms:W3CDTF">2026-07-14T09:11:13Z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3D4412F412694838945C3DA9559B38C4_13</vt:lpwstr>
  </property>
  <property fmtid="{D5CDD505-2E9C-101B-9397-08002B2CF9AE}" pid="4" name="KSOTemplateDocerSaveRecord">
    <vt:lpwstr>eyJoZGlkIjoiNjIxYTVkNTAxZmRkZmRmNGQwZTJlYzUyZDA0NWU5ZDIiLCJ1c2VySWQiOiIzNjc4OTE4NzUifQ==</vt:lpwstr>
  </property>
</Properties>
</file>